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FE" w:rsidRDefault="00504AEC" w:rsidP="0009244B">
      <w:pPr>
        <w:spacing w:after="0" w:line="240" w:lineRule="auto"/>
        <w:jc w:val="center"/>
        <w:rPr>
          <w:b/>
          <w:sz w:val="28"/>
          <w:szCs w:val="28"/>
        </w:rPr>
      </w:pPr>
      <w:bookmarkStart w:id="0" w:name="_GoBack"/>
      <w:bookmarkEnd w:id="0"/>
      <w:r w:rsidRPr="00504AEC">
        <w:rPr>
          <w:b/>
          <w:sz w:val="28"/>
          <w:szCs w:val="28"/>
        </w:rPr>
        <w:t>Lift</w:t>
      </w:r>
      <w:r>
        <w:rPr>
          <w:b/>
          <w:sz w:val="28"/>
          <w:szCs w:val="28"/>
        </w:rPr>
        <w:t>ing the lid on completion rates</w:t>
      </w:r>
      <w:r w:rsidR="005229F5">
        <w:rPr>
          <w:rStyle w:val="FootnoteReference"/>
          <w:b/>
          <w:sz w:val="28"/>
          <w:szCs w:val="28"/>
        </w:rPr>
        <w:footnoteReference w:customMarkFollows="1" w:id="1"/>
        <w:t>#</w:t>
      </w:r>
    </w:p>
    <w:p w:rsidR="00504AEC" w:rsidRDefault="00504AEC" w:rsidP="0009244B">
      <w:pPr>
        <w:spacing w:after="0" w:line="240" w:lineRule="auto"/>
        <w:jc w:val="center"/>
        <w:rPr>
          <w:i/>
        </w:rPr>
      </w:pPr>
      <w:r w:rsidRPr="0009244B">
        <w:rPr>
          <w:i/>
        </w:rPr>
        <w:t>Alice Bednarz, National Centre for Vocational Education Research</w:t>
      </w:r>
    </w:p>
    <w:p w:rsidR="0009244B" w:rsidRPr="0009244B" w:rsidRDefault="0009244B" w:rsidP="0009244B">
      <w:pPr>
        <w:spacing w:after="0" w:line="240" w:lineRule="auto"/>
        <w:jc w:val="center"/>
      </w:pPr>
    </w:p>
    <w:p w:rsidR="0009244B" w:rsidRPr="0009244B" w:rsidRDefault="0009244B" w:rsidP="0009244B">
      <w:pPr>
        <w:spacing w:after="0" w:line="240" w:lineRule="auto"/>
        <w:jc w:val="center"/>
      </w:pPr>
    </w:p>
    <w:p w:rsidR="0009244B" w:rsidRDefault="0009244B" w:rsidP="0009244B">
      <w:pPr>
        <w:spacing w:after="0" w:line="240" w:lineRule="auto"/>
        <w:rPr>
          <w:b/>
          <w:sz w:val="24"/>
          <w:szCs w:val="24"/>
        </w:rPr>
      </w:pPr>
      <w:r w:rsidRPr="0009244B">
        <w:rPr>
          <w:b/>
          <w:sz w:val="24"/>
          <w:szCs w:val="24"/>
        </w:rPr>
        <w:t>Abstract</w:t>
      </w:r>
    </w:p>
    <w:p w:rsidR="0009244B" w:rsidRDefault="0009244B" w:rsidP="0009244B">
      <w:pPr>
        <w:spacing w:after="0" w:line="240" w:lineRule="auto"/>
        <w:rPr>
          <w:sz w:val="24"/>
          <w:szCs w:val="24"/>
        </w:rPr>
      </w:pPr>
    </w:p>
    <w:p w:rsidR="00B15587" w:rsidRDefault="00B15587"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With the recent policy focus on completions in the VET sector, completion rates are under the spotlight. Demand for completion rates data has grown over recent years, and to this end NCVER has released several publications about completion rates, both for VET students and for apprentices and trainees. This paper draws these earlier publications together.</w:t>
      </w:r>
    </w:p>
    <w:p w:rsidR="000448A8" w:rsidRPr="000448A8" w:rsidRDefault="000448A8" w:rsidP="00B37119">
      <w:pPr>
        <w:pStyle w:val="Text"/>
        <w:spacing w:before="0" w:line="240" w:lineRule="auto"/>
        <w:jc w:val="both"/>
        <w:rPr>
          <w:rFonts w:asciiTheme="minorHAnsi" w:hAnsiTheme="minorHAnsi"/>
          <w:sz w:val="24"/>
          <w:szCs w:val="24"/>
        </w:rPr>
      </w:pPr>
    </w:p>
    <w:p w:rsidR="000448A8" w:rsidRDefault="00B15587"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 xml:space="preserve">This paper aims to ‘lift the lid’ on completion rates, explaining how they are defined and how they are calculated. Beyond this, </w:t>
      </w:r>
      <w:r w:rsidR="003929B1">
        <w:rPr>
          <w:rFonts w:asciiTheme="minorHAnsi" w:hAnsiTheme="minorHAnsi"/>
          <w:sz w:val="24"/>
          <w:szCs w:val="24"/>
        </w:rPr>
        <w:t>the paper</w:t>
      </w:r>
      <w:r w:rsidR="00B53360">
        <w:rPr>
          <w:rFonts w:asciiTheme="minorHAnsi" w:hAnsiTheme="minorHAnsi"/>
          <w:sz w:val="24"/>
          <w:szCs w:val="24"/>
        </w:rPr>
        <w:t xml:space="preserve"> consider</w:t>
      </w:r>
      <w:r w:rsidR="003929B1">
        <w:rPr>
          <w:rFonts w:asciiTheme="minorHAnsi" w:hAnsiTheme="minorHAnsi"/>
          <w:sz w:val="24"/>
          <w:szCs w:val="24"/>
        </w:rPr>
        <w:t>s</w:t>
      </w:r>
      <w:r w:rsidRPr="000448A8">
        <w:rPr>
          <w:rFonts w:asciiTheme="minorHAnsi" w:hAnsiTheme="minorHAnsi"/>
          <w:sz w:val="24"/>
          <w:szCs w:val="24"/>
        </w:rPr>
        <w:t xml:space="preserve"> the value of completing a VET qualification, revealing that the pay-off varies for different groups of learners.</w:t>
      </w:r>
    </w:p>
    <w:p w:rsidR="00B15587" w:rsidRDefault="00B15587" w:rsidP="0009244B">
      <w:pPr>
        <w:spacing w:after="0" w:line="240" w:lineRule="auto"/>
        <w:rPr>
          <w:sz w:val="24"/>
          <w:szCs w:val="24"/>
        </w:rPr>
      </w:pPr>
    </w:p>
    <w:p w:rsidR="002E54DC" w:rsidRDefault="0009244B" w:rsidP="0009244B">
      <w:pPr>
        <w:spacing w:after="0" w:line="240" w:lineRule="auto"/>
        <w:rPr>
          <w:b/>
          <w:sz w:val="24"/>
          <w:szCs w:val="24"/>
        </w:rPr>
      </w:pPr>
      <w:r w:rsidRPr="0009244B">
        <w:rPr>
          <w:b/>
          <w:sz w:val="24"/>
          <w:szCs w:val="24"/>
        </w:rPr>
        <w:t>Introduction</w:t>
      </w:r>
    </w:p>
    <w:p w:rsidR="000448A8" w:rsidRDefault="000448A8" w:rsidP="0009244B">
      <w:pPr>
        <w:spacing w:after="0" w:line="240" w:lineRule="auto"/>
        <w:rPr>
          <w:b/>
          <w:sz w:val="24"/>
          <w:szCs w:val="24"/>
        </w:rPr>
      </w:pPr>
    </w:p>
    <w:p w:rsid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 xml:space="preserve">The most intuitive definition of a completion rate is that it is simply the proportion of students who finish the course they started. For example, if 100 students started a course in 2005, and 27 of those students went on to complete their course, we’d say that the completion rate for 2005 is 27%. </w:t>
      </w:r>
    </w:p>
    <w:p w:rsidR="000448A8" w:rsidRPr="000448A8" w:rsidRDefault="000448A8"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Ideally, we need to wait for the course to finish before we can calculate the completion rate. However, this reduces the usefulness of the data, because we potentially have to wait many years to ensure all students have had the opportunity to complete. Instead, we consider a particular ‘tracking window’, and then estimate the true completion rate using various methods. In general, a completion rate can be defined in terms of three components, which are the answers to the following questions:</w:t>
      </w:r>
    </w:p>
    <w:p w:rsidR="000448A8" w:rsidRPr="000448A8" w:rsidRDefault="000448A8" w:rsidP="000448A8">
      <w:pPr>
        <w:pStyle w:val="Text"/>
        <w:spacing w:before="0" w:line="240" w:lineRule="auto"/>
        <w:rPr>
          <w:rFonts w:asciiTheme="minorHAnsi" w:hAnsiTheme="minorHAnsi"/>
          <w:sz w:val="24"/>
          <w:szCs w:val="24"/>
        </w:rPr>
      </w:pPr>
    </w:p>
    <w:p w:rsidR="000448A8" w:rsidRPr="000448A8" w:rsidRDefault="000448A8" w:rsidP="00BE2203">
      <w:pPr>
        <w:pStyle w:val="Text"/>
        <w:numPr>
          <w:ilvl w:val="0"/>
          <w:numId w:val="6"/>
        </w:numPr>
        <w:spacing w:before="0" w:line="240" w:lineRule="auto"/>
        <w:rPr>
          <w:rFonts w:asciiTheme="minorHAnsi" w:hAnsiTheme="minorHAnsi"/>
          <w:sz w:val="24"/>
          <w:szCs w:val="24"/>
        </w:rPr>
      </w:pPr>
      <w:r w:rsidRPr="000448A8">
        <w:rPr>
          <w:rFonts w:asciiTheme="minorHAnsi" w:hAnsiTheme="minorHAnsi"/>
          <w:sz w:val="24"/>
          <w:szCs w:val="24"/>
        </w:rPr>
        <w:t>Who or what are we tracking?</w:t>
      </w:r>
    </w:p>
    <w:p w:rsidR="000448A8" w:rsidRPr="000448A8" w:rsidRDefault="000448A8" w:rsidP="00BE2203">
      <w:pPr>
        <w:pStyle w:val="Text"/>
        <w:numPr>
          <w:ilvl w:val="0"/>
          <w:numId w:val="6"/>
        </w:numPr>
        <w:spacing w:before="0" w:line="240" w:lineRule="auto"/>
        <w:rPr>
          <w:rFonts w:asciiTheme="minorHAnsi" w:hAnsiTheme="minorHAnsi"/>
          <w:sz w:val="24"/>
          <w:szCs w:val="24"/>
        </w:rPr>
      </w:pPr>
      <w:r w:rsidRPr="000448A8">
        <w:rPr>
          <w:rFonts w:asciiTheme="minorHAnsi" w:hAnsiTheme="minorHAnsi"/>
          <w:sz w:val="24"/>
          <w:szCs w:val="24"/>
        </w:rPr>
        <w:t>What is the period of time we are tracking over?</w:t>
      </w:r>
    </w:p>
    <w:p w:rsidR="000448A8" w:rsidRDefault="000448A8" w:rsidP="00BE2203">
      <w:pPr>
        <w:pStyle w:val="Text"/>
        <w:numPr>
          <w:ilvl w:val="0"/>
          <w:numId w:val="6"/>
        </w:numPr>
        <w:spacing w:before="0" w:line="240" w:lineRule="auto"/>
        <w:rPr>
          <w:rFonts w:asciiTheme="minorHAnsi" w:hAnsiTheme="minorHAnsi"/>
          <w:sz w:val="24"/>
          <w:szCs w:val="24"/>
        </w:rPr>
      </w:pPr>
      <w:r w:rsidRPr="000448A8">
        <w:rPr>
          <w:rFonts w:asciiTheme="minorHAnsi" w:hAnsiTheme="minorHAnsi"/>
          <w:sz w:val="24"/>
          <w:szCs w:val="24"/>
        </w:rPr>
        <w:t>How is the rate calculated?</w:t>
      </w:r>
    </w:p>
    <w:p w:rsidR="000448A8" w:rsidRPr="000448A8" w:rsidRDefault="000448A8" w:rsidP="000448A8">
      <w:pPr>
        <w:pStyle w:val="Text"/>
        <w:spacing w:before="0" w:line="240" w:lineRule="auto"/>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We consider each question in turn. We then present the latest completion rate figures, before looking more broadly at the value of completing a vocational education and training (VET) qualification. It must be emphasised that the concept of a completion rate remains unchanged, regardless of the answers to these questions. All that changes is the group of units we are monitoring, how long we are observing them for, and what method is used to estimate the rate.</w:t>
      </w:r>
    </w:p>
    <w:p w:rsidR="00BE2203" w:rsidRPr="000448A8" w:rsidRDefault="00BE2203" w:rsidP="000448A8">
      <w:pPr>
        <w:pStyle w:val="Text"/>
        <w:spacing w:before="0" w:line="240" w:lineRule="auto"/>
        <w:rPr>
          <w:rFonts w:asciiTheme="minorHAnsi" w:hAnsiTheme="minorHAnsi"/>
          <w:sz w:val="24"/>
          <w:szCs w:val="24"/>
        </w:rPr>
      </w:pPr>
    </w:p>
    <w:p w:rsidR="005229F5" w:rsidRDefault="005229F5" w:rsidP="000448A8">
      <w:pPr>
        <w:spacing w:after="0" w:line="240" w:lineRule="auto"/>
        <w:rPr>
          <w:b/>
          <w:sz w:val="24"/>
          <w:szCs w:val="24"/>
        </w:rPr>
      </w:pPr>
      <w:bookmarkStart w:id="1" w:name="_Toc309043798"/>
    </w:p>
    <w:p w:rsidR="000448A8" w:rsidRDefault="000448A8" w:rsidP="000448A8">
      <w:pPr>
        <w:spacing w:after="0" w:line="240" w:lineRule="auto"/>
        <w:rPr>
          <w:b/>
          <w:sz w:val="24"/>
          <w:szCs w:val="24"/>
        </w:rPr>
      </w:pPr>
      <w:r w:rsidRPr="000448A8">
        <w:rPr>
          <w:b/>
          <w:sz w:val="24"/>
          <w:szCs w:val="24"/>
        </w:rPr>
        <w:lastRenderedPageBreak/>
        <w:t>Who or what are we tracking?</w:t>
      </w:r>
      <w:bookmarkEnd w:id="1"/>
    </w:p>
    <w:p w:rsidR="00BE2203" w:rsidRPr="000448A8" w:rsidRDefault="00BE2203" w:rsidP="000448A8">
      <w:pPr>
        <w:spacing w:after="0" w:line="240" w:lineRule="auto"/>
        <w:rPr>
          <w:b/>
          <w:sz w:val="24"/>
          <w:szCs w:val="24"/>
        </w:rPr>
      </w:pPr>
    </w:p>
    <w:p w:rsid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 xml:space="preserve">NCVER reports completion rates at several different levels — for courses, for subjects, for apprentices and trainees, and for specific sub-groups of students. For each of these, we need to track a certain group of entities, be they courses, subjects, contracts of training, or individual students. A group of entities that started at the same time is called a ‘cohort’. </w:t>
      </w:r>
    </w:p>
    <w:p w:rsidR="00BE2203" w:rsidRPr="000448A8"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 xml:space="preserve">The particular cohort we are tracking is reflected in the name of the completion rate. For example, a ‘contract completion rate’ means we are tracking a cohort of contracts; a ‘qualification completion rate’ means we are tracking a cohort of students undertaking a qualification. </w:t>
      </w:r>
    </w:p>
    <w:p w:rsidR="00BE2203" w:rsidRPr="000448A8" w:rsidRDefault="00BE2203" w:rsidP="000448A8">
      <w:pPr>
        <w:pStyle w:val="Text"/>
        <w:spacing w:before="0" w:line="240" w:lineRule="auto"/>
        <w:rPr>
          <w:rFonts w:asciiTheme="minorHAnsi" w:hAnsiTheme="minorHAnsi"/>
          <w:sz w:val="24"/>
          <w:szCs w:val="24"/>
        </w:rPr>
      </w:pPr>
    </w:p>
    <w:p w:rsidR="000448A8" w:rsidRDefault="000448A8" w:rsidP="000448A8">
      <w:pPr>
        <w:spacing w:after="0" w:line="240" w:lineRule="auto"/>
        <w:rPr>
          <w:b/>
          <w:sz w:val="24"/>
          <w:szCs w:val="24"/>
        </w:rPr>
      </w:pPr>
      <w:r w:rsidRPr="000448A8">
        <w:rPr>
          <w:b/>
          <w:sz w:val="24"/>
          <w:szCs w:val="24"/>
        </w:rPr>
        <w:t>Completion rates for VET qualifications</w:t>
      </w:r>
    </w:p>
    <w:p w:rsidR="00BE2203" w:rsidRPr="000448A8" w:rsidRDefault="00BE2203" w:rsidP="000448A8">
      <w:pPr>
        <w:spacing w:after="0" w:line="240" w:lineRule="auto"/>
        <w:rPr>
          <w:b/>
          <w:sz w:val="24"/>
          <w:szCs w:val="24"/>
        </w:rPr>
      </w:pPr>
    </w:p>
    <w:p w:rsidR="000448A8" w:rsidRP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Let’s consider tracking qualifications. This gives us a qualification, or course, completion rate. It is defined as follows:</w:t>
      </w:r>
    </w:p>
    <w:p w:rsidR="000448A8" w:rsidRPr="0012670C" w:rsidRDefault="000448A8" w:rsidP="00B37119">
      <w:pPr>
        <w:pStyle w:val="Textbeforebox"/>
        <w:jc w:val="both"/>
        <w:rPr>
          <w:sz w:val="24"/>
          <w:szCs w:val="24"/>
        </w:rPr>
      </w:pPr>
    </w:p>
    <w:tbl>
      <w:tblPr>
        <w:tblStyle w:val="TableGrid"/>
        <w:tblW w:w="8789" w:type="dxa"/>
        <w:tblInd w:w="142" w:type="dxa"/>
        <w:tblLayout w:type="fixed"/>
        <w:tblCellMar>
          <w:top w:w="198" w:type="dxa"/>
          <w:left w:w="142" w:type="dxa"/>
          <w:bottom w:w="198" w:type="dxa"/>
          <w:right w:w="142" w:type="dxa"/>
        </w:tblCellMar>
        <w:tblLook w:val="04A0" w:firstRow="1" w:lastRow="0" w:firstColumn="1" w:lastColumn="0" w:noHBand="0" w:noVBand="1"/>
      </w:tblPr>
      <w:tblGrid>
        <w:gridCol w:w="8789"/>
      </w:tblGrid>
      <w:tr w:rsidR="000448A8" w:rsidTr="00BE2203">
        <w:tc>
          <w:tcPr>
            <w:tcW w:w="9004" w:type="dxa"/>
          </w:tcPr>
          <w:p w:rsidR="000448A8" w:rsidRPr="00B37119" w:rsidRDefault="000448A8" w:rsidP="00B37119">
            <w:pPr>
              <w:pStyle w:val="Text"/>
              <w:spacing w:before="0"/>
              <w:jc w:val="both"/>
              <w:rPr>
                <w:rFonts w:asciiTheme="minorHAnsi" w:hAnsiTheme="minorHAnsi"/>
                <w:sz w:val="24"/>
                <w:szCs w:val="24"/>
              </w:rPr>
            </w:pPr>
            <w:r w:rsidRPr="00B37119">
              <w:rPr>
                <w:rFonts w:asciiTheme="minorHAnsi" w:hAnsiTheme="minorHAnsi"/>
                <w:sz w:val="24"/>
                <w:szCs w:val="24"/>
              </w:rPr>
              <w:t xml:space="preserve">A </w:t>
            </w:r>
            <w:r w:rsidRPr="00B37119">
              <w:rPr>
                <w:rFonts w:asciiTheme="minorHAnsi" w:hAnsiTheme="minorHAnsi"/>
                <w:b/>
                <w:sz w:val="24"/>
                <w:szCs w:val="24"/>
              </w:rPr>
              <w:t>qualification completion rate</w:t>
            </w:r>
            <w:r w:rsidRPr="00B37119">
              <w:rPr>
                <w:rFonts w:asciiTheme="minorHAnsi" w:hAnsiTheme="minorHAnsi"/>
                <w:sz w:val="24"/>
                <w:szCs w:val="24"/>
              </w:rPr>
              <w:t xml:space="preserve"> is the proportion of VET </w:t>
            </w:r>
            <w:r w:rsidRPr="00B37119">
              <w:rPr>
                <w:rFonts w:asciiTheme="minorHAnsi" w:hAnsiTheme="minorHAnsi"/>
                <w:i/>
                <w:sz w:val="24"/>
                <w:szCs w:val="24"/>
              </w:rPr>
              <w:t>qualifications</w:t>
            </w:r>
            <w:r w:rsidRPr="00B37119">
              <w:rPr>
                <w:rFonts w:asciiTheme="minorHAnsi" w:hAnsiTheme="minorHAnsi"/>
                <w:sz w:val="24"/>
                <w:szCs w:val="24"/>
              </w:rPr>
              <w:t xml:space="preserve"> started in a given year that will eventually be completed. It is also referred to as a course completion rate.</w:t>
            </w:r>
          </w:p>
        </w:tc>
      </w:tr>
    </w:tbl>
    <w:p w:rsidR="00BE2203"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Throughout this paper, the terms ‘qualification’ and ‘course’ are used interchangeably.</w:t>
      </w:r>
    </w:p>
    <w:p w:rsidR="00BE2203" w:rsidRPr="000448A8" w:rsidRDefault="00BE2203" w:rsidP="000448A8">
      <w:pPr>
        <w:pStyle w:val="Text"/>
        <w:spacing w:before="0" w:line="240" w:lineRule="auto"/>
        <w:rPr>
          <w:rFonts w:asciiTheme="minorHAnsi" w:hAnsiTheme="minorHAnsi"/>
          <w:sz w:val="24"/>
          <w:szCs w:val="24"/>
        </w:rPr>
      </w:pPr>
    </w:p>
    <w:p w:rsidR="000448A8" w:rsidRDefault="000448A8" w:rsidP="000448A8">
      <w:pPr>
        <w:spacing w:after="0" w:line="240" w:lineRule="auto"/>
        <w:rPr>
          <w:b/>
          <w:sz w:val="24"/>
          <w:szCs w:val="24"/>
        </w:rPr>
      </w:pPr>
      <w:r w:rsidRPr="000448A8">
        <w:rPr>
          <w:b/>
          <w:sz w:val="24"/>
          <w:szCs w:val="24"/>
        </w:rPr>
        <w:t>Subject completion rates</w:t>
      </w:r>
    </w:p>
    <w:p w:rsidR="00BE2203" w:rsidRPr="000448A8" w:rsidRDefault="00BE2203" w:rsidP="000448A8">
      <w:pPr>
        <w:spacing w:after="0" w:line="240" w:lineRule="auto"/>
        <w:rPr>
          <w:b/>
          <w:sz w:val="24"/>
          <w:szCs w:val="24"/>
        </w:rPr>
      </w:pPr>
    </w:p>
    <w:p w:rsidR="000448A8" w:rsidRPr="000448A8" w:rsidRDefault="000448A8" w:rsidP="00B37119">
      <w:pPr>
        <w:pStyle w:val="Text"/>
        <w:spacing w:before="0" w:line="240" w:lineRule="auto"/>
        <w:jc w:val="both"/>
        <w:rPr>
          <w:rFonts w:asciiTheme="minorHAnsi" w:hAnsiTheme="minorHAnsi"/>
          <w:sz w:val="24"/>
          <w:szCs w:val="24"/>
        </w:rPr>
      </w:pPr>
      <w:r w:rsidRPr="000448A8">
        <w:rPr>
          <w:rFonts w:asciiTheme="minorHAnsi" w:hAnsiTheme="minorHAnsi"/>
          <w:sz w:val="24"/>
          <w:szCs w:val="24"/>
        </w:rPr>
        <w:t xml:space="preserve">A VET qualification is made up of a number of </w:t>
      </w:r>
      <w:r w:rsidR="00E449B6" w:rsidRPr="000448A8">
        <w:rPr>
          <w:rFonts w:asciiTheme="minorHAnsi" w:hAnsiTheme="minorHAnsi"/>
          <w:sz w:val="24"/>
          <w:szCs w:val="24"/>
        </w:rPr>
        <w:t>subjects</w:t>
      </w:r>
      <w:r w:rsidR="00E449B6">
        <w:rPr>
          <w:rFonts w:asciiTheme="minorHAnsi" w:hAnsiTheme="minorHAnsi"/>
          <w:sz w:val="24"/>
          <w:szCs w:val="24"/>
        </w:rPr>
        <w:t>,</w:t>
      </w:r>
      <w:r w:rsidRPr="000448A8">
        <w:rPr>
          <w:rFonts w:asciiTheme="minorHAnsi" w:hAnsiTheme="minorHAnsi"/>
          <w:sz w:val="24"/>
          <w:szCs w:val="24"/>
        </w:rPr>
        <w:t xml:space="preserve"> also referred to as ‘modules’ or ‘units of competency’. Alongside the completion rates for VET qualifications, NCVER reports subject completion rates. These are called ‘load pass rates’. Unlike the course completion rate, the subject load pass rate needs to be weighted to account for the fact that subjects are of different lengths. The calculation is based on the annual hours (or full year training equivalent — FYTE) for each assessable module or unit of competency. A subject load pass rate is defined as follows:</w:t>
      </w:r>
    </w:p>
    <w:p w:rsidR="000448A8" w:rsidRPr="0012670C" w:rsidRDefault="000448A8" w:rsidP="00B37119">
      <w:pPr>
        <w:pStyle w:val="Textbeforebox"/>
        <w:jc w:val="both"/>
        <w:rPr>
          <w:sz w:val="24"/>
          <w:szCs w:val="24"/>
        </w:rPr>
      </w:pPr>
    </w:p>
    <w:tbl>
      <w:tblPr>
        <w:tblStyle w:val="TableGrid"/>
        <w:tblW w:w="8789" w:type="dxa"/>
        <w:tblInd w:w="142" w:type="dxa"/>
        <w:tblLayout w:type="fixed"/>
        <w:tblCellMar>
          <w:top w:w="198" w:type="dxa"/>
          <w:left w:w="142" w:type="dxa"/>
          <w:bottom w:w="198" w:type="dxa"/>
          <w:right w:w="142" w:type="dxa"/>
        </w:tblCellMar>
        <w:tblLook w:val="04A0" w:firstRow="1" w:lastRow="0" w:firstColumn="1" w:lastColumn="0" w:noHBand="0" w:noVBand="1"/>
      </w:tblPr>
      <w:tblGrid>
        <w:gridCol w:w="8789"/>
      </w:tblGrid>
      <w:tr w:rsidR="000448A8" w:rsidTr="00BE2203">
        <w:tc>
          <w:tcPr>
            <w:tcW w:w="9004" w:type="dxa"/>
          </w:tcPr>
          <w:p w:rsidR="000448A8" w:rsidRPr="00B37119" w:rsidRDefault="000448A8" w:rsidP="00B37119">
            <w:pPr>
              <w:pStyle w:val="Text"/>
              <w:spacing w:before="0"/>
              <w:jc w:val="both"/>
              <w:rPr>
                <w:rFonts w:asciiTheme="minorHAnsi" w:hAnsiTheme="minorHAnsi"/>
                <w:sz w:val="24"/>
                <w:szCs w:val="24"/>
              </w:rPr>
            </w:pPr>
            <w:r w:rsidRPr="00B37119">
              <w:rPr>
                <w:rFonts w:asciiTheme="minorHAnsi" w:hAnsiTheme="minorHAnsi"/>
                <w:sz w:val="24"/>
                <w:szCs w:val="24"/>
              </w:rPr>
              <w:t xml:space="preserve">A </w:t>
            </w:r>
            <w:r w:rsidRPr="00B37119">
              <w:rPr>
                <w:rFonts w:asciiTheme="minorHAnsi" w:hAnsiTheme="minorHAnsi"/>
                <w:b/>
                <w:sz w:val="24"/>
                <w:szCs w:val="24"/>
              </w:rPr>
              <w:t>subject load pass rate</w:t>
            </w:r>
            <w:r w:rsidRPr="00B37119">
              <w:rPr>
                <w:rFonts w:asciiTheme="minorHAnsi" w:hAnsiTheme="minorHAnsi"/>
                <w:sz w:val="24"/>
                <w:szCs w:val="24"/>
              </w:rPr>
              <w:t xml:space="preserve"> is the ratio of hours studied by students who passed their subject(s) to the total hours committed to by all students who passed, failed or withdrew from the corresponding subject(s).</w:t>
            </w:r>
          </w:p>
        </w:tc>
      </w:tr>
    </w:tbl>
    <w:p w:rsidR="00BE2203" w:rsidRDefault="00BE2203" w:rsidP="00BE2203">
      <w:pPr>
        <w:pStyle w:val="Text"/>
        <w:spacing w:before="0" w:line="240" w:lineRule="auto"/>
        <w:rPr>
          <w:rFonts w:asciiTheme="minorHAnsi" w:hAnsiTheme="minorHAnsi"/>
          <w:sz w:val="24"/>
          <w:szCs w:val="24"/>
        </w:rPr>
      </w:pPr>
    </w:p>
    <w:p w:rsidR="000448A8" w:rsidRDefault="000448A8" w:rsidP="00E73BB5">
      <w:pPr>
        <w:pStyle w:val="Text"/>
        <w:spacing w:before="0" w:line="240" w:lineRule="auto"/>
        <w:jc w:val="both"/>
        <w:rPr>
          <w:rFonts w:asciiTheme="minorHAnsi" w:hAnsiTheme="minorHAnsi"/>
          <w:sz w:val="24"/>
          <w:szCs w:val="24"/>
        </w:rPr>
      </w:pPr>
      <w:r w:rsidRPr="00BE2203">
        <w:rPr>
          <w:rFonts w:asciiTheme="minorHAnsi" w:hAnsiTheme="minorHAnsi"/>
          <w:sz w:val="24"/>
          <w:szCs w:val="24"/>
        </w:rPr>
        <w:t>We can think of a subject load pass rate as the ratio of ‘profitable hours’ to the total hours undertaken by all students in the same year.</w:t>
      </w:r>
    </w:p>
    <w:p w:rsidR="00BE2203" w:rsidRPr="00BE2203" w:rsidRDefault="00BE2203" w:rsidP="00E73BB5">
      <w:pPr>
        <w:pStyle w:val="Text"/>
        <w:spacing w:before="0" w:line="240" w:lineRule="auto"/>
        <w:jc w:val="both"/>
        <w:rPr>
          <w:rFonts w:asciiTheme="minorHAnsi" w:hAnsiTheme="minorHAnsi"/>
          <w:sz w:val="24"/>
          <w:szCs w:val="24"/>
        </w:rPr>
      </w:pPr>
    </w:p>
    <w:p w:rsidR="000448A8" w:rsidRDefault="000448A8" w:rsidP="00E73BB5">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Let’s consider a simple example. Suppose two students start and complete a two-hour subject, and another student starts but fails to complete a 100-hour subject. </w:t>
      </w:r>
      <w:r w:rsidRPr="00BE2203">
        <w:rPr>
          <w:rFonts w:asciiTheme="minorHAnsi" w:hAnsiTheme="minorHAnsi"/>
          <w:sz w:val="24"/>
          <w:szCs w:val="24"/>
        </w:rPr>
        <w:lastRenderedPageBreak/>
        <w:t xml:space="preserve">Saying that the pass rate is two out of three, or 67%, is not representative of the fact that the two completed subjects were very short, while the incomplete subject was much longer. To fix this, we weight the pass rates according to the subject hours. That is, we multiply the two completions by two hours and the one non-completion by 100 hours. This is equivalent to looking at the total hours studied by those who completed their subjects, over the total hours studied by all students. So we’d say the pass rate is (2x2 hrs)/(2x2 hours + 1x100 hrs) = 4/(104) = 4% — a very different figure from 67%! </w:t>
      </w:r>
    </w:p>
    <w:p w:rsidR="00BE2203" w:rsidRPr="00BE2203" w:rsidRDefault="00BE2203" w:rsidP="00BE2203">
      <w:pPr>
        <w:pStyle w:val="Text"/>
        <w:spacing w:before="0" w:line="240" w:lineRule="auto"/>
        <w:rPr>
          <w:rFonts w:asciiTheme="minorHAnsi" w:hAnsiTheme="minorHAnsi"/>
          <w:sz w:val="24"/>
          <w:szCs w:val="24"/>
        </w:rPr>
      </w:pPr>
    </w:p>
    <w:p w:rsidR="000448A8" w:rsidRDefault="000448A8" w:rsidP="000448A8">
      <w:pPr>
        <w:spacing w:after="0" w:line="240" w:lineRule="auto"/>
        <w:rPr>
          <w:b/>
          <w:sz w:val="24"/>
          <w:szCs w:val="24"/>
        </w:rPr>
      </w:pPr>
      <w:r w:rsidRPr="000448A8">
        <w:rPr>
          <w:b/>
          <w:sz w:val="24"/>
          <w:szCs w:val="24"/>
        </w:rPr>
        <w:t>Completion rates for apprentices and trainees</w:t>
      </w:r>
    </w:p>
    <w:p w:rsidR="00BE2203" w:rsidRPr="000448A8" w:rsidRDefault="00BE2203" w:rsidP="000448A8">
      <w:pPr>
        <w:spacing w:after="0" w:line="240" w:lineRule="auto"/>
        <w:rPr>
          <w:b/>
          <w:sz w:val="24"/>
          <w:szCs w:val="24"/>
        </w:rPr>
      </w:pPr>
    </w:p>
    <w:p w:rsidR="000448A8" w:rsidRPr="00BE2203"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NCVER also estimates completion rates for apprentices and trainees. Each apprentice or trainee has a contract of training with their employer. To determine completion rates, we can monitor these contracts of training and look at how many contracts are eventually completed. This gives us a ‘contract completion rate’, defined as follows:</w:t>
      </w:r>
    </w:p>
    <w:p w:rsidR="000448A8" w:rsidRPr="0012670C" w:rsidRDefault="000448A8" w:rsidP="00B37119">
      <w:pPr>
        <w:pStyle w:val="Textbeforebox"/>
        <w:jc w:val="both"/>
        <w:rPr>
          <w:sz w:val="24"/>
          <w:szCs w:val="24"/>
        </w:rPr>
      </w:pPr>
    </w:p>
    <w:tbl>
      <w:tblPr>
        <w:tblStyle w:val="TableGrid"/>
        <w:tblW w:w="8789" w:type="dxa"/>
        <w:tblInd w:w="142" w:type="dxa"/>
        <w:tblLayout w:type="fixed"/>
        <w:tblCellMar>
          <w:top w:w="198" w:type="dxa"/>
          <w:left w:w="142" w:type="dxa"/>
          <w:bottom w:w="198" w:type="dxa"/>
          <w:right w:w="142" w:type="dxa"/>
        </w:tblCellMar>
        <w:tblLook w:val="04A0" w:firstRow="1" w:lastRow="0" w:firstColumn="1" w:lastColumn="0" w:noHBand="0" w:noVBand="1"/>
      </w:tblPr>
      <w:tblGrid>
        <w:gridCol w:w="8789"/>
      </w:tblGrid>
      <w:tr w:rsidR="000448A8" w:rsidTr="00BE2203">
        <w:tc>
          <w:tcPr>
            <w:tcW w:w="9004" w:type="dxa"/>
          </w:tcPr>
          <w:p w:rsidR="000448A8" w:rsidRPr="00B37119" w:rsidRDefault="000448A8" w:rsidP="00B37119">
            <w:pPr>
              <w:pStyle w:val="Text"/>
              <w:spacing w:before="0"/>
              <w:jc w:val="both"/>
              <w:rPr>
                <w:rFonts w:asciiTheme="minorHAnsi" w:hAnsiTheme="minorHAnsi"/>
                <w:sz w:val="24"/>
                <w:szCs w:val="24"/>
              </w:rPr>
            </w:pPr>
            <w:r w:rsidRPr="00B37119">
              <w:rPr>
                <w:rFonts w:asciiTheme="minorHAnsi" w:hAnsiTheme="minorHAnsi"/>
                <w:sz w:val="24"/>
                <w:szCs w:val="24"/>
              </w:rPr>
              <w:t xml:space="preserve">A </w:t>
            </w:r>
            <w:r w:rsidRPr="00B37119">
              <w:rPr>
                <w:rFonts w:asciiTheme="minorHAnsi" w:hAnsiTheme="minorHAnsi"/>
                <w:b/>
                <w:sz w:val="24"/>
                <w:szCs w:val="24"/>
              </w:rPr>
              <w:t>contract completion rate</w:t>
            </w:r>
            <w:r w:rsidRPr="00B37119">
              <w:rPr>
                <w:rFonts w:asciiTheme="minorHAnsi" w:hAnsiTheme="minorHAnsi"/>
                <w:sz w:val="24"/>
                <w:szCs w:val="24"/>
              </w:rPr>
              <w:t xml:space="preserve"> refers to the proportion of </w:t>
            </w:r>
            <w:r w:rsidRPr="00B37119">
              <w:rPr>
                <w:rFonts w:asciiTheme="minorHAnsi" w:hAnsiTheme="minorHAnsi"/>
                <w:i/>
                <w:sz w:val="24"/>
                <w:szCs w:val="24"/>
              </w:rPr>
              <w:t>contracts</w:t>
            </w:r>
            <w:r w:rsidRPr="00B37119">
              <w:rPr>
                <w:rFonts w:asciiTheme="minorHAnsi" w:hAnsiTheme="minorHAnsi"/>
                <w:sz w:val="24"/>
                <w:szCs w:val="24"/>
              </w:rPr>
              <w:t xml:space="preserve"> </w:t>
            </w:r>
            <w:r w:rsidRPr="00B37119">
              <w:rPr>
                <w:rFonts w:asciiTheme="minorHAnsi" w:hAnsiTheme="minorHAnsi"/>
                <w:i/>
                <w:sz w:val="24"/>
                <w:szCs w:val="24"/>
              </w:rPr>
              <w:t>of training</w:t>
            </w:r>
            <w:r w:rsidRPr="00B37119">
              <w:rPr>
                <w:rFonts w:asciiTheme="minorHAnsi" w:hAnsiTheme="minorHAnsi"/>
                <w:sz w:val="24"/>
                <w:szCs w:val="24"/>
              </w:rPr>
              <w:t xml:space="preserve"> started in a given time period that have since been completed.</w:t>
            </w:r>
          </w:p>
        </w:tc>
      </w:tr>
    </w:tbl>
    <w:p w:rsidR="00BE2203" w:rsidRDefault="00BE2203" w:rsidP="00B37119">
      <w:pPr>
        <w:pStyle w:val="Text"/>
        <w:spacing w:before="0" w:line="240" w:lineRule="auto"/>
        <w:jc w:val="both"/>
        <w:rPr>
          <w:rFonts w:asciiTheme="minorHAnsi" w:hAnsiTheme="minorHAnsi"/>
          <w:sz w:val="24"/>
          <w:szCs w:val="24"/>
        </w:rPr>
      </w:pPr>
    </w:p>
    <w:p w:rsidR="000448A8" w:rsidRPr="00BE2203"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There is an issue associated with tracking contracts of training: an apprentice might start a contract of training with one employer, but then later switch employers and have to begin a new contract of training. If we only monitor contracts of training, the original contract may be recorded as incomplete, even if the student goes on to finish their apprenticeship with the new employer. Approximately one-quarter of trade apprentices swap employers during their apprenticeship in this fashion (Karmel 2011). This leads us to consider individual completion rates, defined as follows:</w:t>
      </w:r>
    </w:p>
    <w:p w:rsidR="000448A8" w:rsidRPr="0012670C" w:rsidRDefault="000448A8" w:rsidP="00B37119">
      <w:pPr>
        <w:pStyle w:val="Textbeforebox"/>
        <w:jc w:val="both"/>
        <w:rPr>
          <w:sz w:val="24"/>
          <w:szCs w:val="24"/>
        </w:rPr>
      </w:pPr>
    </w:p>
    <w:tbl>
      <w:tblPr>
        <w:tblStyle w:val="TableGrid"/>
        <w:tblW w:w="8789" w:type="dxa"/>
        <w:tblInd w:w="142" w:type="dxa"/>
        <w:tblLayout w:type="fixed"/>
        <w:tblCellMar>
          <w:top w:w="198" w:type="dxa"/>
          <w:left w:w="142" w:type="dxa"/>
          <w:bottom w:w="198" w:type="dxa"/>
          <w:right w:w="142" w:type="dxa"/>
        </w:tblCellMar>
        <w:tblLook w:val="04A0" w:firstRow="1" w:lastRow="0" w:firstColumn="1" w:lastColumn="0" w:noHBand="0" w:noVBand="1"/>
      </w:tblPr>
      <w:tblGrid>
        <w:gridCol w:w="8789"/>
      </w:tblGrid>
      <w:tr w:rsidR="000448A8" w:rsidTr="00BE2203">
        <w:tc>
          <w:tcPr>
            <w:tcW w:w="9004" w:type="dxa"/>
          </w:tcPr>
          <w:p w:rsidR="000448A8" w:rsidRPr="00B37119" w:rsidRDefault="000448A8" w:rsidP="00B37119">
            <w:pPr>
              <w:pStyle w:val="Text"/>
              <w:spacing w:before="0"/>
              <w:jc w:val="both"/>
              <w:rPr>
                <w:rFonts w:asciiTheme="minorHAnsi" w:hAnsiTheme="minorHAnsi"/>
                <w:sz w:val="24"/>
                <w:szCs w:val="24"/>
              </w:rPr>
            </w:pPr>
            <w:r w:rsidRPr="00B37119">
              <w:rPr>
                <w:rFonts w:asciiTheme="minorHAnsi" w:hAnsiTheme="minorHAnsi"/>
                <w:sz w:val="24"/>
                <w:szCs w:val="24"/>
              </w:rPr>
              <w:t xml:space="preserve">An </w:t>
            </w:r>
            <w:r w:rsidRPr="00B37119">
              <w:rPr>
                <w:rFonts w:asciiTheme="minorHAnsi" w:hAnsiTheme="minorHAnsi"/>
                <w:b/>
                <w:sz w:val="24"/>
                <w:szCs w:val="24"/>
              </w:rPr>
              <w:t>individual completion rate</w:t>
            </w:r>
            <w:r w:rsidRPr="00B37119">
              <w:rPr>
                <w:rFonts w:asciiTheme="minorHAnsi" w:hAnsiTheme="minorHAnsi"/>
                <w:sz w:val="24"/>
                <w:szCs w:val="24"/>
              </w:rPr>
              <w:t xml:space="preserve"> is an estimate of the proportion of </w:t>
            </w:r>
            <w:r w:rsidRPr="00B37119">
              <w:rPr>
                <w:rFonts w:asciiTheme="minorHAnsi" w:hAnsiTheme="minorHAnsi"/>
                <w:i/>
                <w:sz w:val="24"/>
                <w:szCs w:val="24"/>
              </w:rPr>
              <w:t>apprentices and trainees</w:t>
            </w:r>
            <w:r w:rsidRPr="00B37119">
              <w:rPr>
                <w:rFonts w:asciiTheme="minorHAnsi" w:hAnsiTheme="minorHAnsi"/>
                <w:sz w:val="24"/>
                <w:szCs w:val="24"/>
              </w:rPr>
              <w:t xml:space="preserve"> who started in a given year and who eventually completed their training in the same occupation in which they began, but not necessarily with the same employer.</w:t>
            </w:r>
          </w:p>
        </w:tc>
      </w:tr>
    </w:tbl>
    <w:p w:rsidR="00B53360" w:rsidRPr="0012670C" w:rsidRDefault="00B53360" w:rsidP="00E449B6">
      <w:pPr>
        <w:spacing w:after="0" w:line="240" w:lineRule="auto"/>
        <w:rPr>
          <w:sz w:val="24"/>
          <w:szCs w:val="24"/>
        </w:rPr>
      </w:pPr>
    </w:p>
    <w:p w:rsidR="000448A8" w:rsidRDefault="000448A8" w:rsidP="00E449B6">
      <w:pPr>
        <w:spacing w:after="0" w:line="240" w:lineRule="auto"/>
        <w:rPr>
          <w:b/>
          <w:sz w:val="24"/>
          <w:szCs w:val="24"/>
        </w:rPr>
      </w:pPr>
      <w:r w:rsidRPr="000448A8">
        <w:rPr>
          <w:b/>
          <w:sz w:val="24"/>
          <w:szCs w:val="24"/>
        </w:rPr>
        <w:t>Summary of the different levels of completion rates</w:t>
      </w:r>
    </w:p>
    <w:p w:rsidR="00BE2203" w:rsidRPr="0012670C" w:rsidRDefault="00BE2203" w:rsidP="000448A8">
      <w:pPr>
        <w:spacing w:after="0" w:line="240" w:lineRule="auto"/>
        <w:rPr>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A visual summary of completion rates for VET qualifications is given in figure 1, and for apprentices and trainees in figure 2. </w:t>
      </w:r>
    </w:p>
    <w:p w:rsidR="00BE2203" w:rsidRPr="00BE2203" w:rsidRDefault="00BE2203" w:rsidP="00BE2203">
      <w:pPr>
        <w:pStyle w:val="Text"/>
        <w:spacing w:before="0" w:line="240" w:lineRule="auto"/>
        <w:rPr>
          <w:rFonts w:asciiTheme="minorHAnsi" w:hAnsiTheme="minorHAnsi"/>
          <w:sz w:val="24"/>
          <w:szCs w:val="24"/>
        </w:rPr>
      </w:pPr>
    </w:p>
    <w:p w:rsidR="00B53360" w:rsidRDefault="00B53360" w:rsidP="000448A8">
      <w:pPr>
        <w:pStyle w:val="Textlessbefore"/>
        <w:rPr>
          <w:rFonts w:ascii="Arial" w:hAnsi="Arial" w:cs="Arial"/>
          <w:b/>
          <w:noProof/>
          <w:sz w:val="20"/>
          <w:lang w:eastAsia="en-AU"/>
        </w:rPr>
      </w:pPr>
    </w:p>
    <w:p w:rsidR="00B53360" w:rsidRDefault="00B53360" w:rsidP="000448A8">
      <w:pPr>
        <w:pStyle w:val="Textlessbefore"/>
        <w:rPr>
          <w:rFonts w:ascii="Arial" w:hAnsi="Arial" w:cs="Arial"/>
          <w:b/>
          <w:noProof/>
          <w:sz w:val="20"/>
          <w:lang w:eastAsia="en-AU"/>
        </w:rPr>
      </w:pPr>
    </w:p>
    <w:p w:rsidR="00B53360" w:rsidRDefault="00B53360" w:rsidP="000448A8">
      <w:pPr>
        <w:pStyle w:val="Textlessbefore"/>
        <w:rPr>
          <w:rFonts w:ascii="Arial" w:hAnsi="Arial" w:cs="Arial"/>
          <w:b/>
          <w:noProof/>
          <w:sz w:val="20"/>
          <w:lang w:eastAsia="en-AU"/>
        </w:rPr>
      </w:pPr>
    </w:p>
    <w:p w:rsidR="00B53360" w:rsidRDefault="00B53360" w:rsidP="000448A8">
      <w:pPr>
        <w:pStyle w:val="Textlessbefore"/>
        <w:rPr>
          <w:rFonts w:ascii="Arial" w:hAnsi="Arial" w:cs="Arial"/>
          <w:b/>
          <w:noProof/>
          <w:sz w:val="20"/>
          <w:lang w:eastAsia="en-AU"/>
        </w:rPr>
      </w:pPr>
    </w:p>
    <w:p w:rsidR="00B53360" w:rsidRDefault="00B53360" w:rsidP="000448A8">
      <w:pPr>
        <w:pStyle w:val="Textlessbefore"/>
        <w:rPr>
          <w:rFonts w:ascii="Arial" w:hAnsi="Arial" w:cs="Arial"/>
          <w:b/>
          <w:noProof/>
          <w:sz w:val="20"/>
          <w:lang w:eastAsia="en-AU"/>
        </w:rPr>
      </w:pPr>
    </w:p>
    <w:p w:rsidR="00B53360" w:rsidRDefault="00B53360" w:rsidP="000448A8">
      <w:pPr>
        <w:pStyle w:val="Textlessbefore"/>
        <w:rPr>
          <w:rFonts w:ascii="Arial" w:hAnsi="Arial" w:cs="Arial"/>
          <w:b/>
          <w:noProof/>
          <w:sz w:val="20"/>
          <w:lang w:eastAsia="en-AU"/>
        </w:rPr>
      </w:pPr>
    </w:p>
    <w:p w:rsidR="000448A8" w:rsidRPr="000448A8" w:rsidRDefault="000448A8" w:rsidP="000448A8">
      <w:pPr>
        <w:pStyle w:val="Textlessbefore"/>
        <w:rPr>
          <w:b/>
          <w:noProof/>
          <w:lang w:eastAsia="en-AU"/>
        </w:rPr>
      </w:pPr>
      <w:r w:rsidRPr="000448A8">
        <w:rPr>
          <w:rFonts w:ascii="Arial" w:hAnsi="Arial" w:cs="Arial"/>
          <w:b/>
          <w:noProof/>
          <w:sz w:val="20"/>
          <w:lang w:eastAsia="en-AU"/>
        </w:rPr>
        <w:lastRenderedPageBreak/>
        <w:t xml:space="preserve">Figure 1 </w:t>
      </w:r>
      <w:r w:rsidRPr="000448A8">
        <w:rPr>
          <w:rFonts w:ascii="Arial" w:hAnsi="Arial" w:cs="Arial"/>
          <w:b/>
          <w:noProof/>
          <w:sz w:val="20"/>
          <w:lang w:eastAsia="en-AU"/>
        </w:rPr>
        <w:tab/>
        <w:t>Visual summary of completion rates for VET qualifications</w:t>
      </w:r>
    </w:p>
    <w:p w:rsidR="000448A8" w:rsidRPr="00B53360" w:rsidRDefault="00606525" w:rsidP="000448A8">
      <w:pPr>
        <w:pStyle w:val="Figuretitle"/>
        <w:spacing w:before="80"/>
        <w:rPr>
          <w:rFonts w:ascii="Arial" w:hAnsi="Arial" w:cs="Arial"/>
          <w:noProof/>
          <w:sz w:val="18"/>
          <w:szCs w:val="18"/>
          <w:lang w:eastAsia="en-AU"/>
        </w:rPr>
      </w:pPr>
      <w:bookmarkStart w:id="2" w:name="_Toc312160077"/>
      <w:r>
        <w:rPr>
          <w:rFonts w:ascii="Arial" w:hAnsi="Arial" w:cs="Arial"/>
          <w:noProof/>
          <w:sz w:val="20"/>
          <w:lang w:eastAsia="en-AU"/>
        </w:rPr>
        <mc:AlternateContent>
          <mc:Choice Requires="wpg">
            <w:drawing>
              <wp:inline distT="0" distB="0" distL="0" distR="0">
                <wp:extent cx="4448175" cy="2759075"/>
                <wp:effectExtent l="7620" t="12700" r="11430" b="9525"/>
                <wp:docPr id="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175" cy="2759075"/>
                          <a:chOff x="2032" y="2724"/>
                          <a:chExt cx="7858" cy="4663"/>
                        </a:xfrm>
                      </wpg:grpSpPr>
                      <wpg:grpSp>
                        <wpg:cNvPr id="26" name="Group 118"/>
                        <wpg:cNvGrpSpPr>
                          <a:grpSpLocks/>
                        </wpg:cNvGrpSpPr>
                        <wpg:grpSpPr bwMode="auto">
                          <a:xfrm>
                            <a:off x="2032" y="2724"/>
                            <a:ext cx="7858" cy="4663"/>
                            <a:chOff x="2032" y="2724"/>
                            <a:chExt cx="7858" cy="4663"/>
                          </a:xfrm>
                        </wpg:grpSpPr>
                        <wps:wsp>
                          <wps:cNvPr id="27" name="Rectangle 119"/>
                          <wps:cNvSpPr>
                            <a:spLocks noChangeArrowheads="1"/>
                          </wps:cNvSpPr>
                          <wps:spPr bwMode="auto">
                            <a:xfrm>
                              <a:off x="2032" y="2724"/>
                              <a:ext cx="7858" cy="46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20"/>
                          <wps:cNvSpPr txBox="1">
                            <a:spLocks noChangeArrowheads="1"/>
                          </wps:cNvSpPr>
                          <wps:spPr bwMode="auto">
                            <a:xfrm>
                              <a:off x="2133" y="2816"/>
                              <a:ext cx="7629"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E5" w:rsidRPr="004337C1" w:rsidRDefault="001063E5" w:rsidP="000448A8">
                                <w:pPr>
                                  <w:jc w:val="center"/>
                                  <w:rPr>
                                    <w:b/>
                                    <w:sz w:val="24"/>
                                    <w:szCs w:val="24"/>
                                  </w:rPr>
                                </w:pPr>
                                <w:r w:rsidRPr="004337C1">
                                  <w:rPr>
                                    <w:b/>
                                    <w:sz w:val="24"/>
                                    <w:szCs w:val="24"/>
                                  </w:rPr>
                                  <w:t>VET qualifications</w:t>
                                </w:r>
                              </w:p>
                            </w:txbxContent>
                          </wps:txbx>
                          <wps:bodyPr rot="0" vert="horz" wrap="square" lIns="91440" tIns="45720" rIns="91440" bIns="45720" anchor="t" anchorCtr="0" upright="1">
                            <a:noAutofit/>
                          </wps:bodyPr>
                        </wps:wsp>
                        <wpg:grpSp>
                          <wpg:cNvPr id="29" name="Group 121"/>
                          <wpg:cNvGrpSpPr>
                            <a:grpSpLocks/>
                          </wpg:cNvGrpSpPr>
                          <wpg:grpSpPr bwMode="auto">
                            <a:xfrm>
                              <a:off x="2200" y="5352"/>
                              <a:ext cx="4682" cy="1689"/>
                              <a:chOff x="2200" y="5352"/>
                              <a:chExt cx="4682" cy="1689"/>
                            </a:xfrm>
                          </wpg:grpSpPr>
                          <wps:wsp>
                            <wps:cNvPr id="30" name="Text Box 122"/>
                            <wps:cNvSpPr txBox="1">
                              <a:spLocks noChangeArrowheads="1"/>
                            </wps:cNvSpPr>
                            <wps:spPr bwMode="auto">
                              <a:xfrm>
                                <a:off x="2200" y="5352"/>
                                <a:ext cx="414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E5" w:rsidRPr="00745279" w:rsidRDefault="001063E5" w:rsidP="000448A8">
                                  <w:pPr>
                                    <w:rPr>
                                      <w:b/>
                                      <w:sz w:val="20"/>
                                    </w:rPr>
                                  </w:pPr>
                                  <w:r w:rsidRPr="00745279">
                                    <w:rPr>
                                      <w:b/>
                                      <w:sz w:val="20"/>
                                    </w:rPr>
                                    <w:t>Subject completion rate (load pass rate)</w:t>
                                  </w:r>
                                </w:p>
                              </w:txbxContent>
                            </wps:txbx>
                            <wps:bodyPr rot="0" vert="horz" wrap="square" lIns="91440" tIns="45720" rIns="91440" bIns="45720" anchor="t" anchorCtr="0" upright="1">
                              <a:noAutofit/>
                            </wps:bodyPr>
                          </wps:wsp>
                          <wpg:grpSp>
                            <wpg:cNvPr id="31" name="Group 123"/>
                            <wpg:cNvGrpSpPr>
                              <a:grpSpLocks/>
                            </wpg:cNvGrpSpPr>
                            <wpg:grpSpPr bwMode="auto">
                              <a:xfrm>
                                <a:off x="2974" y="5848"/>
                                <a:ext cx="3908" cy="1193"/>
                                <a:chOff x="2974" y="5848"/>
                                <a:chExt cx="3908" cy="1193"/>
                              </a:xfrm>
                            </wpg:grpSpPr>
                            <wps:wsp>
                              <wps:cNvPr id="32" name="Text Box 124"/>
                              <wps:cNvSpPr txBox="1">
                                <a:spLocks noChangeArrowheads="1"/>
                              </wps:cNvSpPr>
                              <wps:spPr bwMode="auto">
                                <a:xfrm>
                                  <a:off x="3067" y="5967"/>
                                  <a:ext cx="1253" cy="440"/>
                                </a:xfrm>
                                <a:prstGeom prst="rect">
                                  <a:avLst/>
                                </a:prstGeom>
                                <a:solidFill>
                                  <a:srgbClr val="FFFFFF"/>
                                </a:solidFill>
                                <a:ln w="9525">
                                  <a:solidFill>
                                    <a:srgbClr val="000000"/>
                                  </a:solidFill>
                                  <a:miter lim="800000"/>
                                  <a:headEnd/>
                                  <a:tailEnd/>
                                </a:ln>
                              </wps:spPr>
                              <wps:txbx>
                                <w:txbxContent>
                                  <w:p w:rsidR="001063E5" w:rsidRDefault="001063E5" w:rsidP="00705B7D">
                                    <w:pPr>
                                      <w:spacing w:after="0" w:line="240" w:lineRule="auto"/>
                                      <w:jc w:val="center"/>
                                    </w:pPr>
                                    <w:r w:rsidRPr="00D61E94">
                                      <w:rPr>
                                        <w:sz w:val="20"/>
                                      </w:rPr>
                                      <w:t>Subject</w:t>
                                    </w:r>
                                    <w:r w:rsidRPr="006E2042">
                                      <w:rPr>
                                        <w:sz w:val="20"/>
                                      </w:rPr>
                                      <w:t xml:space="preserve"> 1</w:t>
                                    </w:r>
                                  </w:p>
                                </w:txbxContent>
                              </wps:txbx>
                              <wps:bodyPr rot="0" vert="horz" wrap="square" lIns="91440" tIns="45720" rIns="91440" bIns="45720" anchor="t" anchorCtr="0" upright="1">
                                <a:noAutofit/>
                              </wps:bodyPr>
                            </wps:wsp>
                            <wps:wsp>
                              <wps:cNvPr id="33" name="Text Box 125"/>
                              <wps:cNvSpPr txBox="1">
                                <a:spLocks noChangeArrowheads="1"/>
                              </wps:cNvSpPr>
                              <wps:spPr bwMode="auto">
                                <a:xfrm>
                                  <a:off x="3067" y="6515"/>
                                  <a:ext cx="1253" cy="406"/>
                                </a:xfrm>
                                <a:prstGeom prst="rect">
                                  <a:avLst/>
                                </a:prstGeom>
                                <a:solidFill>
                                  <a:srgbClr val="FFFFFF"/>
                                </a:solidFill>
                                <a:ln w="9525">
                                  <a:solidFill>
                                    <a:srgbClr val="000000"/>
                                  </a:solidFill>
                                  <a:miter lim="800000"/>
                                  <a:headEnd/>
                                  <a:tailEnd/>
                                </a:ln>
                              </wps:spPr>
                              <wps:txbx>
                                <w:txbxContent>
                                  <w:p w:rsidR="001063E5" w:rsidRPr="00705B7D" w:rsidRDefault="001063E5" w:rsidP="00705B7D">
                                    <w:pPr>
                                      <w:spacing w:after="0" w:line="240" w:lineRule="auto"/>
                                      <w:jc w:val="center"/>
                                      <w:rPr>
                                        <w:sz w:val="20"/>
                                      </w:rPr>
                                    </w:pPr>
                                    <w:r w:rsidRPr="00D61E94">
                                      <w:rPr>
                                        <w:sz w:val="20"/>
                                      </w:rPr>
                                      <w:t>Subject</w:t>
                                    </w:r>
                                    <w:r w:rsidRPr="006E2042">
                                      <w:rPr>
                                        <w:sz w:val="20"/>
                                      </w:rPr>
                                      <w:t xml:space="preserve"> 2</w:t>
                                    </w:r>
                                  </w:p>
                                </w:txbxContent>
                              </wps:txbx>
                              <wps:bodyPr rot="0" vert="horz" wrap="square" lIns="91440" tIns="45720" rIns="91440" bIns="45720" anchor="t" anchorCtr="0" upright="1">
                                <a:noAutofit/>
                              </wps:bodyPr>
                            </wps:wsp>
                            <wps:wsp>
                              <wps:cNvPr id="34" name="AutoShape 126"/>
                              <wps:cNvCnPr>
                                <a:cxnSpLocks noChangeShapeType="1"/>
                              </wps:cNvCnPr>
                              <wps:spPr bwMode="auto">
                                <a:xfrm>
                                  <a:off x="4321" y="6720"/>
                                  <a:ext cx="589"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5" name="AutoShape 127"/>
                              <wps:cNvCnPr>
                                <a:cxnSpLocks noChangeShapeType="1"/>
                              </wps:cNvCnPr>
                              <wps:spPr bwMode="auto">
                                <a:xfrm>
                                  <a:off x="4321" y="6179"/>
                                  <a:ext cx="10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28"/>
                              <wps:cNvSpPr>
                                <a:spLocks noChangeArrowheads="1"/>
                              </wps:cNvSpPr>
                              <wps:spPr bwMode="auto">
                                <a:xfrm>
                                  <a:off x="2974" y="5848"/>
                                  <a:ext cx="1439" cy="119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29"/>
                              <wps:cNvSpPr txBox="1">
                                <a:spLocks noChangeArrowheads="1"/>
                              </wps:cNvSpPr>
                              <wps:spPr bwMode="auto">
                                <a:xfrm>
                                  <a:off x="5508" y="5970"/>
                                  <a:ext cx="1374" cy="418"/>
                                </a:xfrm>
                                <a:prstGeom prst="rect">
                                  <a:avLst/>
                                </a:prstGeom>
                                <a:solidFill>
                                  <a:srgbClr val="FFFFFF"/>
                                </a:solidFill>
                                <a:ln w="9525">
                                  <a:solidFill>
                                    <a:srgbClr val="000000"/>
                                  </a:solidFill>
                                  <a:miter lim="800000"/>
                                  <a:headEnd/>
                                  <a:tailEnd/>
                                </a:ln>
                              </wps:spPr>
                              <wps:txbx>
                                <w:txbxContent>
                                  <w:p w:rsidR="001063E5" w:rsidRDefault="001063E5" w:rsidP="00705B7D">
                                    <w:pPr>
                                      <w:spacing w:after="0" w:line="240" w:lineRule="auto"/>
                                      <w:jc w:val="center"/>
                                    </w:pPr>
                                    <w:r w:rsidRPr="00D61E94">
                                      <w:rPr>
                                        <w:sz w:val="20"/>
                                      </w:rPr>
                                      <w:t>Completed</w:t>
                                    </w:r>
                                  </w:p>
                                </w:txbxContent>
                              </wps:txbx>
                              <wps:bodyPr rot="0" vert="horz" wrap="square" lIns="91440" tIns="45720" rIns="91440" bIns="45720" anchor="t" anchorCtr="0" upright="1">
                                <a:noAutofit/>
                              </wps:bodyPr>
                            </wps:wsp>
                          </wpg:grpSp>
                        </wpg:grpSp>
                        <wps:wsp>
                          <wps:cNvPr id="38" name="Text Box 130"/>
                          <wps:cNvSpPr txBox="1">
                            <a:spLocks noChangeArrowheads="1"/>
                          </wps:cNvSpPr>
                          <wps:spPr bwMode="auto">
                            <a:xfrm>
                              <a:off x="5071" y="6511"/>
                              <a:ext cx="1374" cy="421"/>
                            </a:xfrm>
                            <a:prstGeom prst="rect">
                              <a:avLst/>
                            </a:prstGeom>
                            <a:solidFill>
                              <a:srgbClr val="FFFFFF"/>
                            </a:solidFill>
                            <a:ln w="9525">
                              <a:solidFill>
                                <a:srgbClr val="000000"/>
                              </a:solidFill>
                              <a:miter lim="800000"/>
                              <a:headEnd/>
                              <a:tailEnd/>
                            </a:ln>
                          </wps:spPr>
                          <wps:txbx>
                            <w:txbxContent>
                              <w:p w:rsidR="001063E5" w:rsidRDefault="001063E5" w:rsidP="000448A8">
                                <w:pPr>
                                  <w:jc w:val="center"/>
                                </w:pPr>
                                <w:r w:rsidRPr="00D61E94">
                                  <w:rPr>
                                    <w:sz w:val="20"/>
                                  </w:rPr>
                                  <w:t>Cancelled</w:t>
                                </w:r>
                              </w:p>
                            </w:txbxContent>
                          </wps:txbx>
                          <wps:bodyPr rot="0" vert="horz" wrap="square" lIns="91440" tIns="45720" rIns="91440" bIns="45720" anchor="t" anchorCtr="0" upright="1">
                            <a:noAutofit/>
                          </wps:bodyPr>
                        </wps:wsp>
                      </wpg:grpSp>
                      <wpg:grpSp>
                        <wpg:cNvPr id="39" name="Group 131"/>
                        <wpg:cNvGrpSpPr>
                          <a:grpSpLocks/>
                        </wpg:cNvGrpSpPr>
                        <wpg:grpSpPr bwMode="auto">
                          <a:xfrm>
                            <a:off x="2172" y="3401"/>
                            <a:ext cx="7515" cy="1671"/>
                            <a:chOff x="2172" y="3401"/>
                            <a:chExt cx="7515" cy="1671"/>
                          </a:xfrm>
                        </wpg:grpSpPr>
                        <wpg:grpSp>
                          <wpg:cNvPr id="40" name="Group 132"/>
                          <wpg:cNvGrpSpPr>
                            <a:grpSpLocks/>
                          </wpg:cNvGrpSpPr>
                          <wpg:grpSpPr bwMode="auto">
                            <a:xfrm>
                              <a:off x="2172" y="3401"/>
                              <a:ext cx="7515" cy="1671"/>
                              <a:chOff x="2172" y="3401"/>
                              <a:chExt cx="7515" cy="1671"/>
                            </a:xfrm>
                          </wpg:grpSpPr>
                          <wpg:grpSp>
                            <wpg:cNvPr id="41" name="Group 133"/>
                            <wpg:cNvGrpSpPr>
                              <a:grpSpLocks/>
                            </wpg:cNvGrpSpPr>
                            <wpg:grpSpPr bwMode="auto">
                              <a:xfrm>
                                <a:off x="2172" y="3401"/>
                                <a:ext cx="5986" cy="1671"/>
                                <a:chOff x="2172" y="3401"/>
                                <a:chExt cx="5986" cy="1671"/>
                              </a:xfrm>
                            </wpg:grpSpPr>
                            <wps:wsp>
                              <wps:cNvPr id="42" name="Text Box 134"/>
                              <wps:cNvSpPr txBox="1">
                                <a:spLocks noChangeArrowheads="1"/>
                              </wps:cNvSpPr>
                              <wps:spPr bwMode="auto">
                                <a:xfrm>
                                  <a:off x="2172" y="3401"/>
                                  <a:ext cx="3515"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E5" w:rsidRPr="00745279" w:rsidRDefault="001063E5" w:rsidP="000448A8">
                                    <w:pPr>
                                      <w:rPr>
                                        <w:b/>
                                        <w:sz w:val="20"/>
                                      </w:rPr>
                                    </w:pPr>
                                    <w:r w:rsidRPr="00745279">
                                      <w:rPr>
                                        <w:b/>
                                        <w:sz w:val="20"/>
                                      </w:rPr>
                                      <w:t>Qualification completion rate</w:t>
                                    </w:r>
                                  </w:p>
                                </w:txbxContent>
                              </wps:txbx>
                              <wps:bodyPr rot="0" vert="horz" wrap="square" lIns="91440" tIns="45720" rIns="91440" bIns="45720" anchor="t" anchorCtr="0" upright="1">
                                <a:noAutofit/>
                              </wps:bodyPr>
                            </wps:wsp>
                            <wpg:grpSp>
                              <wpg:cNvPr id="43" name="Group 135"/>
                              <wpg:cNvGrpSpPr>
                                <a:grpSpLocks/>
                              </wpg:cNvGrpSpPr>
                              <wpg:grpSpPr bwMode="auto">
                                <a:xfrm>
                                  <a:off x="2458" y="3895"/>
                                  <a:ext cx="5700" cy="1177"/>
                                  <a:chOff x="2458" y="3895"/>
                                  <a:chExt cx="5700" cy="1177"/>
                                </a:xfrm>
                              </wpg:grpSpPr>
                              <wps:wsp>
                                <wps:cNvPr id="44" name="Text Box 136"/>
                                <wps:cNvSpPr txBox="1">
                                  <a:spLocks noChangeArrowheads="1"/>
                                </wps:cNvSpPr>
                                <wps:spPr bwMode="auto">
                                  <a:xfrm>
                                    <a:off x="2567" y="4530"/>
                                    <a:ext cx="1724" cy="420"/>
                                  </a:xfrm>
                                  <a:prstGeom prst="rect">
                                    <a:avLst/>
                                  </a:prstGeom>
                                  <a:solidFill>
                                    <a:srgbClr val="FFFFFF"/>
                                  </a:solidFill>
                                  <a:ln w="9525">
                                    <a:solidFill>
                                      <a:srgbClr val="000000"/>
                                    </a:solidFill>
                                    <a:miter lim="800000"/>
                                    <a:headEnd/>
                                    <a:tailEnd/>
                                  </a:ln>
                                </wps:spPr>
                                <wps:txbx>
                                  <w:txbxContent>
                                    <w:p w:rsidR="001063E5" w:rsidRDefault="001063E5" w:rsidP="000448A8">
                                      <w:pPr>
                                        <w:jc w:val="center"/>
                                      </w:pPr>
                                      <w:r>
                                        <w:rPr>
                                          <w:sz w:val="20"/>
                                        </w:rPr>
                                        <w:t>Qualification</w:t>
                                      </w:r>
                                      <w:r w:rsidRPr="00D61E94">
                                        <w:rPr>
                                          <w:sz w:val="20"/>
                                        </w:rPr>
                                        <w:t xml:space="preserve"> </w:t>
                                      </w:r>
                                      <w:r w:rsidRPr="006E2042">
                                        <w:rPr>
                                          <w:sz w:val="20"/>
                                        </w:rPr>
                                        <w:t>2</w:t>
                                      </w:r>
                                    </w:p>
                                  </w:txbxContent>
                                </wps:txbx>
                                <wps:bodyPr rot="0" vert="horz" wrap="square" lIns="91440" tIns="45720" rIns="91440" bIns="45720" anchor="t" anchorCtr="0" upright="1">
                                  <a:noAutofit/>
                                </wps:bodyPr>
                              </wps:wsp>
                              <wps:wsp>
                                <wps:cNvPr id="45" name="Text Box 137"/>
                                <wps:cNvSpPr txBox="1">
                                  <a:spLocks noChangeArrowheads="1"/>
                                </wps:cNvSpPr>
                                <wps:spPr bwMode="auto">
                                  <a:xfrm>
                                    <a:off x="2566" y="3986"/>
                                    <a:ext cx="1724" cy="420"/>
                                  </a:xfrm>
                                  <a:prstGeom prst="rect">
                                    <a:avLst/>
                                  </a:prstGeom>
                                  <a:solidFill>
                                    <a:srgbClr val="FFFFFF"/>
                                  </a:solidFill>
                                  <a:ln w="9525">
                                    <a:solidFill>
                                      <a:srgbClr val="000000"/>
                                    </a:solidFill>
                                    <a:miter lim="800000"/>
                                    <a:headEnd/>
                                    <a:tailEnd/>
                                  </a:ln>
                                </wps:spPr>
                                <wps:txbx>
                                  <w:txbxContent>
                                    <w:p w:rsidR="001063E5" w:rsidRDefault="001063E5" w:rsidP="000448A8">
                                      <w:pPr>
                                        <w:jc w:val="center"/>
                                      </w:pPr>
                                      <w:r>
                                        <w:rPr>
                                          <w:sz w:val="20"/>
                                        </w:rPr>
                                        <w:t>Qualification</w:t>
                                      </w:r>
                                      <w:r w:rsidRPr="00D61E94">
                                        <w:rPr>
                                          <w:sz w:val="20"/>
                                        </w:rPr>
                                        <w:t xml:space="preserve"> </w:t>
                                      </w:r>
                                      <w:r w:rsidRPr="006E2042">
                                        <w:rPr>
                                          <w:sz w:val="20"/>
                                        </w:rPr>
                                        <w:t>1</w:t>
                                      </w:r>
                                    </w:p>
                                  </w:txbxContent>
                                </wps:txbx>
                                <wps:bodyPr rot="0" vert="horz" wrap="square" lIns="91440" tIns="45720" rIns="91440" bIns="45720" anchor="t" anchorCtr="0" upright="1">
                                  <a:noAutofit/>
                                </wps:bodyPr>
                              </wps:wsp>
                              <wps:wsp>
                                <wps:cNvPr id="46" name="AutoShape 138"/>
                                <wps:cNvCnPr>
                                  <a:cxnSpLocks noChangeShapeType="1"/>
                                </wps:cNvCnPr>
                                <wps:spPr bwMode="auto">
                                  <a:xfrm>
                                    <a:off x="4291" y="4197"/>
                                    <a:ext cx="2261"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47" name="AutoShape 139"/>
                                <wps:cNvCnPr>
                                  <a:cxnSpLocks noChangeShapeType="1"/>
                                </wps:cNvCnPr>
                                <wps:spPr bwMode="auto">
                                  <a:xfrm>
                                    <a:off x="4291" y="4699"/>
                                    <a:ext cx="38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140"/>
                                <wps:cNvSpPr>
                                  <a:spLocks noChangeArrowheads="1"/>
                                </wps:cNvSpPr>
                                <wps:spPr bwMode="auto">
                                  <a:xfrm>
                                    <a:off x="2458" y="3895"/>
                                    <a:ext cx="1936" cy="117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9" name="Text Box 141"/>
                            <wps:cNvSpPr txBox="1">
                              <a:spLocks noChangeArrowheads="1"/>
                            </wps:cNvSpPr>
                            <wps:spPr bwMode="auto">
                              <a:xfrm>
                                <a:off x="8313" y="4488"/>
                                <a:ext cx="1374" cy="418"/>
                              </a:xfrm>
                              <a:prstGeom prst="rect">
                                <a:avLst/>
                              </a:prstGeom>
                              <a:solidFill>
                                <a:srgbClr val="FFFFFF"/>
                              </a:solidFill>
                              <a:ln w="9525">
                                <a:solidFill>
                                  <a:srgbClr val="000000"/>
                                </a:solidFill>
                                <a:miter lim="800000"/>
                                <a:headEnd/>
                                <a:tailEnd/>
                              </a:ln>
                            </wps:spPr>
                            <wps:txbx>
                              <w:txbxContent>
                                <w:p w:rsidR="001063E5" w:rsidRPr="00B53360" w:rsidRDefault="001063E5" w:rsidP="000448A8">
                                  <w:pPr>
                                    <w:jc w:val="center"/>
                                    <w:rPr>
                                      <w:sz w:val="20"/>
                                      <w:szCs w:val="20"/>
                                    </w:rPr>
                                  </w:pPr>
                                  <w:r w:rsidRPr="00B53360">
                                    <w:rPr>
                                      <w:sz w:val="20"/>
                                      <w:szCs w:val="20"/>
                                    </w:rPr>
                                    <w:t>Completed</w:t>
                                  </w:r>
                                </w:p>
                              </w:txbxContent>
                            </wps:txbx>
                            <wps:bodyPr rot="0" vert="horz" wrap="square" lIns="91440" tIns="45720" rIns="91440" bIns="45720" anchor="t" anchorCtr="0" upright="1">
                              <a:noAutofit/>
                            </wps:bodyPr>
                          </wps:wsp>
                        </wpg:grpSp>
                        <wps:wsp>
                          <wps:cNvPr id="50" name="Text Box 142"/>
                          <wps:cNvSpPr txBox="1">
                            <a:spLocks noChangeArrowheads="1"/>
                          </wps:cNvSpPr>
                          <wps:spPr bwMode="auto">
                            <a:xfrm>
                              <a:off x="6707" y="3976"/>
                              <a:ext cx="1374" cy="421"/>
                            </a:xfrm>
                            <a:prstGeom prst="rect">
                              <a:avLst/>
                            </a:prstGeom>
                            <a:solidFill>
                              <a:srgbClr val="FFFFFF"/>
                            </a:solidFill>
                            <a:ln w="9525">
                              <a:solidFill>
                                <a:srgbClr val="000000"/>
                              </a:solidFill>
                              <a:miter lim="800000"/>
                              <a:headEnd/>
                              <a:tailEnd/>
                            </a:ln>
                          </wps:spPr>
                          <wps:txbx>
                            <w:txbxContent>
                              <w:p w:rsidR="001063E5" w:rsidRDefault="001063E5" w:rsidP="000448A8">
                                <w:pPr>
                                  <w:jc w:val="center"/>
                                </w:pPr>
                                <w:r w:rsidRPr="00D61E94">
                                  <w:rPr>
                                    <w:sz w:val="20"/>
                                  </w:rPr>
                                  <w:t>Cancelled</w:t>
                                </w:r>
                              </w:p>
                            </w:txbxContent>
                          </wps:txbx>
                          <wps:bodyPr rot="0" vert="horz" wrap="square" lIns="91440" tIns="45720" rIns="91440" bIns="45720" anchor="t" anchorCtr="0" upright="1">
                            <a:noAutofit/>
                          </wps:bodyPr>
                        </wps:wsp>
                      </wpg:grpSp>
                    </wpg:wgp>
                  </a:graphicData>
                </a:graphic>
              </wp:inline>
            </w:drawing>
          </mc:Choice>
          <mc:Fallback>
            <w:pict>
              <v:group id="Group 117" o:spid="_x0000_s1026" style="width:350.25pt;height:217.25pt;mso-position-horizontal-relative:char;mso-position-vertical-relative:line" coordorigin="2032,2724" coordsize="7858,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">
                <v:group id="Group 118" o:spid="_x0000_s1027" style="position:absolute;left:2032;top:2724;width:7858;height:4663" coordorigin="2032,2724" coordsize="7858,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19" o:spid="_x0000_s1028" style="position:absolute;left:2032;top:2724;width:7858;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type id="_x0000_t202" coordsize="21600,21600" o:spt="202" path="m,l,21600r21600,l21600,xe">
                    <v:stroke joinstyle="miter"/>
                    <v:path gradientshapeok="t" o:connecttype="rect"/>
                  </v:shapetype>
                  <v:shape id="Text Box 120" o:spid="_x0000_s1029" type="#_x0000_t202" style="position:absolute;left:2133;top:2816;width:7629;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1063E5" w:rsidRPr="004337C1" w:rsidRDefault="001063E5" w:rsidP="000448A8">
                          <w:pPr>
                            <w:jc w:val="center"/>
                            <w:rPr>
                              <w:b/>
                              <w:sz w:val="24"/>
                              <w:szCs w:val="24"/>
                            </w:rPr>
                          </w:pPr>
                          <w:r w:rsidRPr="004337C1">
                            <w:rPr>
                              <w:b/>
                              <w:sz w:val="24"/>
                              <w:szCs w:val="24"/>
                            </w:rPr>
                            <w:t>VET qualifications</w:t>
                          </w:r>
                        </w:p>
                      </w:txbxContent>
                    </v:textbox>
                  </v:shape>
                  <v:group id="Group 121" o:spid="_x0000_s1030" style="position:absolute;left:2200;top:5352;width:4682;height:1689" coordorigin="2200,5352" coordsize="4682,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122" o:spid="_x0000_s1031" type="#_x0000_t202" style="position:absolute;left:2200;top:5352;width:414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1063E5" w:rsidRPr="00745279" w:rsidRDefault="001063E5" w:rsidP="000448A8">
                            <w:pPr>
                              <w:rPr>
                                <w:b/>
                                <w:sz w:val="20"/>
                              </w:rPr>
                            </w:pPr>
                            <w:r w:rsidRPr="00745279">
                              <w:rPr>
                                <w:b/>
                                <w:sz w:val="20"/>
                              </w:rPr>
                              <w:t>Subject completion rate (load pass rate)</w:t>
                            </w:r>
                          </w:p>
                        </w:txbxContent>
                      </v:textbox>
                    </v:shape>
                    <v:group id="Group 123" o:spid="_x0000_s1032" style="position:absolute;left:2974;top:5848;width:3908;height:1193" coordorigin="2974,5848" coordsize="3908,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124" o:spid="_x0000_s1033" type="#_x0000_t202" style="position:absolute;left:3067;top:5967;width:125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1063E5" w:rsidRDefault="001063E5" w:rsidP="00705B7D">
                              <w:pPr>
                                <w:spacing w:after="0" w:line="240" w:lineRule="auto"/>
                                <w:jc w:val="center"/>
                              </w:pPr>
                              <w:r w:rsidRPr="00D61E94">
                                <w:rPr>
                                  <w:sz w:val="20"/>
                                </w:rPr>
                                <w:t>Subject</w:t>
                              </w:r>
                              <w:r w:rsidRPr="006E2042">
                                <w:rPr>
                                  <w:sz w:val="20"/>
                                </w:rPr>
                                <w:t xml:space="preserve"> 1</w:t>
                              </w:r>
                            </w:p>
                          </w:txbxContent>
                        </v:textbox>
                      </v:shape>
                      <v:shape id="Text Box 125" o:spid="_x0000_s1034" type="#_x0000_t202" style="position:absolute;left:3067;top:6515;width:1253;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1063E5" w:rsidRPr="00705B7D" w:rsidRDefault="001063E5" w:rsidP="00705B7D">
                              <w:pPr>
                                <w:spacing w:after="0" w:line="240" w:lineRule="auto"/>
                                <w:jc w:val="center"/>
                                <w:rPr>
                                  <w:sz w:val="20"/>
                                </w:rPr>
                              </w:pPr>
                              <w:r w:rsidRPr="00D61E94">
                                <w:rPr>
                                  <w:sz w:val="20"/>
                                </w:rPr>
                                <w:t>Subject</w:t>
                              </w:r>
                              <w:r w:rsidRPr="006E2042">
                                <w:rPr>
                                  <w:sz w:val="20"/>
                                </w:rPr>
                                <w:t xml:space="preserve"> 2</w:t>
                              </w:r>
                            </w:p>
                          </w:txbxContent>
                        </v:textbox>
                      </v:shape>
                      <v:shapetype id="_x0000_t32" coordsize="21600,21600" o:spt="32" o:oned="t" path="m,l21600,21600e" filled="f">
                        <v:path arrowok="t" fillok="f" o:connecttype="none"/>
                        <o:lock v:ext="edit" shapetype="t"/>
                      </v:shapetype>
                      <v:shape id="AutoShape 126" o:spid="_x0000_s1035" type="#_x0000_t32" style="position:absolute;left:4321;top:6720;width: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">
                        <v:stroke endarrow="oval"/>
                      </v:shape>
                      <v:shape id="AutoShape 127" o:spid="_x0000_s1036" type="#_x0000_t32" style="position:absolute;left:4321;top:6179;width:10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rect id="Rectangle 128" o:spid="_x0000_s1037" style="position:absolute;left:2974;top:5848;width:1439;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" filled="f">
                        <v:stroke dashstyle="dash"/>
                      </v:rect>
                      <v:shape id="Text Box 129" o:spid="_x0000_s1038" type="#_x0000_t202" style="position:absolute;left:5508;top:5970;width:137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1063E5" w:rsidRDefault="001063E5" w:rsidP="00705B7D">
                              <w:pPr>
                                <w:spacing w:after="0" w:line="240" w:lineRule="auto"/>
                                <w:jc w:val="center"/>
                              </w:pPr>
                              <w:r w:rsidRPr="00D61E94">
                                <w:rPr>
                                  <w:sz w:val="20"/>
                                </w:rPr>
                                <w:t>Completed</w:t>
                              </w:r>
                            </w:p>
                          </w:txbxContent>
                        </v:textbox>
                      </v:shape>
                    </v:group>
                  </v:group>
                  <v:shape id="Text Box 130" o:spid="_x0000_s1039" type="#_x0000_t202" style="position:absolute;left:5071;top:6511;width:137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1063E5" w:rsidRDefault="001063E5" w:rsidP="000448A8">
                          <w:pPr>
                            <w:jc w:val="center"/>
                          </w:pPr>
                          <w:r w:rsidRPr="00D61E94">
                            <w:rPr>
                              <w:sz w:val="20"/>
                            </w:rPr>
                            <w:t>Cancelled</w:t>
                          </w:r>
                        </w:p>
                      </w:txbxContent>
                    </v:textbox>
                  </v:shape>
                </v:group>
                <v:group id="Group 131" o:spid="_x0000_s1040" style="position:absolute;left:2172;top:3401;width:7515;height:1671" coordorigin="2172,3401" coordsize="7515,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132" o:spid="_x0000_s1041" style="position:absolute;left:2172;top:3401;width:7515;height:1671" coordorigin="2172,3401" coordsize="7515,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133" o:spid="_x0000_s1042" style="position:absolute;left:2172;top:3401;width:5986;height:1671" coordorigin="2172,3401" coordsize="5986,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134" o:spid="_x0000_s1043" type="#_x0000_t202" style="position:absolute;left:2172;top:3401;width:351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1063E5" w:rsidRPr="00745279" w:rsidRDefault="001063E5" w:rsidP="000448A8">
                              <w:pPr>
                                <w:rPr>
                                  <w:b/>
                                  <w:sz w:val="20"/>
                                </w:rPr>
                              </w:pPr>
                              <w:r w:rsidRPr="00745279">
                                <w:rPr>
                                  <w:b/>
                                  <w:sz w:val="20"/>
                                </w:rPr>
                                <w:t>Qualification completion rate</w:t>
                              </w:r>
                            </w:p>
                          </w:txbxContent>
                        </v:textbox>
                      </v:shape>
                      <v:group id="Group 135" o:spid="_x0000_s1044" style="position:absolute;left:2458;top:3895;width:5700;height:1177" coordorigin="2458,3895" coordsize="570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136" o:spid="_x0000_s1045" type="#_x0000_t202" style="position:absolute;left:2567;top:4530;width:172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1063E5" w:rsidRDefault="001063E5" w:rsidP="000448A8">
                                <w:pPr>
                                  <w:jc w:val="center"/>
                                </w:pPr>
                                <w:r>
                                  <w:rPr>
                                    <w:sz w:val="20"/>
                                  </w:rPr>
                                  <w:t>Qualification</w:t>
                                </w:r>
                                <w:r w:rsidRPr="00D61E94">
                                  <w:rPr>
                                    <w:sz w:val="20"/>
                                  </w:rPr>
                                  <w:t xml:space="preserve"> </w:t>
                                </w:r>
                                <w:r w:rsidRPr="006E2042">
                                  <w:rPr>
                                    <w:sz w:val="20"/>
                                  </w:rPr>
                                  <w:t>2</w:t>
                                </w:r>
                              </w:p>
                            </w:txbxContent>
                          </v:textbox>
                        </v:shape>
                        <v:shape id="Text Box 137" o:spid="_x0000_s1046" type="#_x0000_t202" style="position:absolute;left:2566;top:3986;width:172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1063E5" w:rsidRDefault="001063E5" w:rsidP="000448A8">
                                <w:pPr>
                                  <w:jc w:val="center"/>
                                </w:pPr>
                                <w:r>
                                  <w:rPr>
                                    <w:sz w:val="20"/>
                                  </w:rPr>
                                  <w:t>Qualification</w:t>
                                </w:r>
                                <w:r w:rsidRPr="00D61E94">
                                  <w:rPr>
                                    <w:sz w:val="20"/>
                                  </w:rPr>
                                  <w:t xml:space="preserve"> </w:t>
                                </w:r>
                                <w:r w:rsidRPr="006E2042">
                                  <w:rPr>
                                    <w:sz w:val="20"/>
                                  </w:rPr>
                                  <w:t>1</w:t>
                                </w:r>
                              </w:p>
                            </w:txbxContent>
                          </v:textbox>
                        </v:shape>
                        <v:shape id="AutoShape 138" o:spid="_x0000_s1047" type="#_x0000_t32" style="position:absolute;left:4291;top:4197;width:22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">
                          <v:stroke endarrow="oval"/>
                        </v:shape>
                        <v:shape id="AutoShape 139" o:spid="_x0000_s1048" type="#_x0000_t32" style="position:absolute;left:4291;top:4699;width:3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rect id="Rectangle 140" o:spid="_x0000_s1049" style="position:absolute;left:2458;top:3895;width:1936;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" filled="f">
                          <v:stroke dashstyle="dash"/>
                        </v:rect>
                      </v:group>
                    </v:group>
                    <v:shape id="Text Box 141" o:spid="_x0000_s1050" type="#_x0000_t202" style="position:absolute;left:8313;top:4488;width:137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1063E5" w:rsidRPr="00B53360" w:rsidRDefault="001063E5" w:rsidP="000448A8">
                            <w:pPr>
                              <w:jc w:val="center"/>
                              <w:rPr>
                                <w:sz w:val="20"/>
                                <w:szCs w:val="20"/>
                              </w:rPr>
                            </w:pPr>
                            <w:r w:rsidRPr="00B53360">
                              <w:rPr>
                                <w:sz w:val="20"/>
                                <w:szCs w:val="20"/>
                              </w:rPr>
                              <w:t>Completed</w:t>
                            </w:r>
                          </w:p>
                        </w:txbxContent>
                      </v:textbox>
                    </v:shape>
                  </v:group>
                  <v:shape id="Text Box 142" o:spid="_x0000_s1051" type="#_x0000_t202" style="position:absolute;left:6707;top:3976;width:137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1063E5" w:rsidRDefault="001063E5" w:rsidP="000448A8">
                          <w:pPr>
                            <w:jc w:val="center"/>
                          </w:pPr>
                          <w:r w:rsidRPr="00D61E94">
                            <w:rPr>
                              <w:sz w:val="20"/>
                            </w:rPr>
                            <w:t>Cancelled</w:t>
                          </w:r>
                        </w:p>
                      </w:txbxContent>
                    </v:textbox>
                  </v:shape>
                </v:group>
                <w10:anchorlock/>
              </v:group>
            </w:pict>
          </mc:Fallback>
        </mc:AlternateContent>
      </w:r>
      <w:bookmarkEnd w:id="2"/>
    </w:p>
    <w:p w:rsidR="000448A8" w:rsidRPr="00861F0D" w:rsidRDefault="000448A8" w:rsidP="000448A8">
      <w:pPr>
        <w:pStyle w:val="Source"/>
        <w:spacing w:before="160"/>
        <w:rPr>
          <w:noProof/>
          <w:sz w:val="18"/>
          <w:szCs w:val="18"/>
          <w:lang w:eastAsia="en-AU"/>
        </w:rPr>
      </w:pPr>
      <w:r w:rsidRPr="00861F0D">
        <w:rPr>
          <w:noProof/>
          <w:sz w:val="18"/>
          <w:szCs w:val="18"/>
          <w:lang w:eastAsia="en-AU"/>
        </w:rPr>
        <w:t>Note:</w:t>
      </w:r>
      <w:r w:rsidRPr="00861F0D">
        <w:rPr>
          <w:noProof/>
          <w:sz w:val="18"/>
          <w:szCs w:val="18"/>
          <w:lang w:eastAsia="en-AU"/>
        </w:rPr>
        <w:tab/>
        <w:t>For VET students, we consider completion rates at either the qualification level or the subject level. The particular level selected determines what or who we need to track.</w:t>
      </w:r>
    </w:p>
    <w:p w:rsidR="000448A8" w:rsidRDefault="000448A8" w:rsidP="000448A8">
      <w:pPr>
        <w:pStyle w:val="Source"/>
        <w:spacing w:before="160"/>
        <w:rPr>
          <w:rFonts w:cs="Arial"/>
          <w:noProof/>
          <w:sz w:val="20"/>
          <w:lang w:eastAsia="en-AU"/>
        </w:rPr>
      </w:pPr>
    </w:p>
    <w:p w:rsidR="000448A8" w:rsidRDefault="000448A8" w:rsidP="000448A8">
      <w:pPr>
        <w:pStyle w:val="Figuretitle"/>
        <w:spacing w:before="80"/>
        <w:rPr>
          <w:rFonts w:ascii="Arial" w:hAnsi="Arial" w:cs="Arial"/>
          <w:noProof/>
          <w:sz w:val="20"/>
          <w:lang w:eastAsia="en-AU"/>
        </w:rPr>
      </w:pPr>
      <w:r w:rsidRPr="000448A8">
        <w:rPr>
          <w:rFonts w:ascii="Arial" w:hAnsi="Arial" w:cs="Arial"/>
          <w:noProof/>
          <w:sz w:val="20"/>
          <w:lang w:eastAsia="en-AU"/>
        </w:rPr>
        <w:t>Figure 2</w:t>
      </w:r>
      <w:r w:rsidRPr="000448A8">
        <w:rPr>
          <w:rFonts w:ascii="Arial" w:hAnsi="Arial" w:cs="Arial"/>
          <w:noProof/>
          <w:sz w:val="20"/>
          <w:lang w:eastAsia="en-AU"/>
        </w:rPr>
        <w:tab/>
        <w:t>Visual summary of completion rates for apprentices and trainees</w:t>
      </w: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0448A8" w:rsidP="000448A8">
      <w:pPr>
        <w:pStyle w:val="Figuretitle"/>
        <w:spacing w:before="80"/>
        <w:rPr>
          <w:rFonts w:ascii="Arial" w:hAnsi="Arial" w:cs="Arial"/>
          <w:noProof/>
          <w:sz w:val="20"/>
          <w:lang w:eastAsia="en-AU"/>
        </w:rPr>
      </w:pPr>
    </w:p>
    <w:p w:rsidR="000448A8" w:rsidRDefault="00B53360" w:rsidP="000448A8">
      <w:pPr>
        <w:pStyle w:val="Figuretitle"/>
        <w:spacing w:before="80"/>
        <w:rPr>
          <w:rFonts w:ascii="Arial" w:hAnsi="Arial" w:cs="Arial"/>
          <w:noProof/>
          <w:sz w:val="20"/>
          <w:lang w:eastAsia="en-AU"/>
        </w:rPr>
      </w:pPr>
      <w:r>
        <w:rPr>
          <w:rFonts w:ascii="Arial" w:hAnsi="Arial" w:cs="Arial"/>
          <w:noProof/>
          <w:sz w:val="20"/>
          <w:lang w:eastAsia="en-AU"/>
        </w:rPr>
        <w:drawing>
          <wp:anchor distT="0" distB="0" distL="114300" distR="114300" simplePos="0" relativeHeight="251672576" behindDoc="0" locked="0" layoutInCell="1" allowOverlap="1">
            <wp:simplePos x="0" y="0"/>
            <wp:positionH relativeFrom="column">
              <wp:posOffset>904647</wp:posOffset>
            </wp:positionH>
            <wp:positionV relativeFrom="paragraph">
              <wp:posOffset>13724</wp:posOffset>
            </wp:positionV>
            <wp:extent cx="143292" cy="307074"/>
            <wp:effectExtent l="19050" t="0" r="9108" b="0"/>
            <wp:wrapNone/>
            <wp:docPr id="7" name="Picture 1" descr="\\ncver.edu.au\data\users\alicebednarz\My Pictures\stick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edu.au\data\users\alicebednarz\My Pictures\stick figure.png"/>
                    <pic:cNvPicPr>
                      <a:picLocks noChangeAspect="1" noChangeArrowheads="1"/>
                    </pic:cNvPicPr>
                  </pic:nvPicPr>
                  <pic:blipFill>
                    <a:blip r:embed="rId8" cstate="print">
                      <a:clrChange>
                        <a:clrFrom>
                          <a:srgbClr val="000000">
                            <a:alpha val="0"/>
                          </a:srgbClr>
                        </a:clrFrom>
                        <a:clrTo>
                          <a:srgbClr val="000000">
                            <a:alpha val="0"/>
                          </a:srgbClr>
                        </a:clrTo>
                      </a:clrChange>
                      <a:duotone>
                        <a:prstClr val="black"/>
                        <a:schemeClr val="accent2">
                          <a:tint val="45000"/>
                          <a:satMod val="400000"/>
                        </a:schemeClr>
                      </a:duotone>
                    </a:blip>
                    <a:srcRect/>
                    <a:stretch>
                      <a:fillRect/>
                    </a:stretch>
                  </pic:blipFill>
                  <pic:spPr bwMode="auto">
                    <a:xfrm flipH="1">
                      <a:off x="0" y="0"/>
                      <a:ext cx="143292" cy="307074"/>
                    </a:xfrm>
                    <a:prstGeom prst="rect">
                      <a:avLst/>
                    </a:prstGeom>
                    <a:noFill/>
                    <a:ln w="9525">
                      <a:noFill/>
                      <a:miter lim="800000"/>
                      <a:headEnd/>
                      <a:tailEnd/>
                    </a:ln>
                  </pic:spPr>
                </pic:pic>
              </a:graphicData>
            </a:graphic>
          </wp:anchor>
        </w:drawing>
      </w:r>
    </w:p>
    <w:p w:rsidR="000448A8" w:rsidRPr="000448A8" w:rsidRDefault="000448A8" w:rsidP="000448A8">
      <w:pPr>
        <w:pStyle w:val="Figuretitle"/>
        <w:spacing w:before="80"/>
        <w:rPr>
          <w:rFonts w:ascii="Arial" w:hAnsi="Arial" w:cs="Arial"/>
          <w:noProof/>
          <w:sz w:val="20"/>
          <w:lang w:eastAsia="en-AU"/>
        </w:rPr>
      </w:pPr>
    </w:p>
    <w:p w:rsidR="000448A8" w:rsidRDefault="00B53360" w:rsidP="000448A8">
      <w:pPr>
        <w:pStyle w:val="Source"/>
        <w:spacing w:before="160"/>
      </w:pPr>
      <w:r>
        <w:rPr>
          <w:noProof/>
          <w:lang w:eastAsia="en-AU"/>
        </w:rPr>
        <w:drawing>
          <wp:anchor distT="0" distB="0" distL="114300" distR="114300" simplePos="0" relativeHeight="251673600" behindDoc="0" locked="0" layoutInCell="1" allowOverlap="1">
            <wp:simplePos x="0" y="0"/>
            <wp:positionH relativeFrom="column">
              <wp:posOffset>904647</wp:posOffset>
            </wp:positionH>
            <wp:positionV relativeFrom="paragraph">
              <wp:posOffset>22633</wp:posOffset>
            </wp:positionV>
            <wp:extent cx="142657" cy="300250"/>
            <wp:effectExtent l="19050" t="0" r="0" b="0"/>
            <wp:wrapNone/>
            <wp:docPr id="4" name="Picture 1" descr="\\ncver.edu.au\data\users\alicebednarz\My Pictures\stick 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edu.au\data\users\alicebednarz\My Pictures\stick figure.png"/>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142657" cy="300250"/>
                    </a:xfrm>
                    <a:prstGeom prst="rect">
                      <a:avLst/>
                    </a:prstGeom>
                    <a:noFill/>
                    <a:ln w="9525">
                      <a:noFill/>
                      <a:miter lim="800000"/>
                      <a:headEnd/>
                      <a:tailEnd/>
                    </a:ln>
                  </pic:spPr>
                </pic:pic>
              </a:graphicData>
            </a:graphic>
          </wp:anchor>
        </w:drawing>
      </w:r>
      <w:r w:rsidR="000448A8" w:rsidRPr="00CB68A9">
        <w:t>level selected determines what we need to track.</w:t>
      </w:r>
    </w:p>
    <w:p w:rsidR="000448A8" w:rsidRDefault="000448A8" w:rsidP="000448A8">
      <w:pPr>
        <w:pStyle w:val="Source"/>
        <w:spacing w:before="160"/>
      </w:pPr>
    </w:p>
    <w:p w:rsidR="000448A8" w:rsidRPr="000448A8" w:rsidRDefault="00606525" w:rsidP="000448A8">
      <w:pPr>
        <w:pStyle w:val="Textlessbefore"/>
        <w:rPr>
          <w:rFonts w:ascii="Arial" w:hAnsi="Arial" w:cs="Arial"/>
          <w:b/>
          <w:noProof/>
          <w:sz w:val="20"/>
          <w:lang w:eastAsia="en-AU"/>
        </w:rPr>
      </w:pPr>
      <w:bookmarkStart w:id="3" w:name="_Toc312160078"/>
      <w:r>
        <w:rPr>
          <w:rFonts w:ascii="Arial" w:hAnsi="Arial" w:cs="Arial"/>
          <w:b/>
          <w:noProof/>
          <w:sz w:val="20"/>
          <w:lang w:eastAsia="en-AU"/>
        </w:rPr>
        <mc:AlternateContent>
          <mc:Choice Requires="wpg">
            <w:drawing>
              <wp:inline distT="0" distB="0" distL="0" distR="0">
                <wp:extent cx="4446270" cy="2706370"/>
                <wp:effectExtent l="7620" t="12065" r="13335" b="5715"/>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270" cy="2706370"/>
                          <a:chOff x="2031" y="9016"/>
                          <a:chExt cx="7858" cy="4783"/>
                        </a:xfrm>
                      </wpg:grpSpPr>
                      <wps:wsp>
                        <wps:cNvPr id="2" name="Rectangle 96"/>
                        <wps:cNvSpPr>
                          <a:spLocks noChangeArrowheads="1"/>
                        </wps:cNvSpPr>
                        <wps:spPr bwMode="auto">
                          <a:xfrm>
                            <a:off x="2031" y="9016"/>
                            <a:ext cx="7858" cy="47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97"/>
                        <wps:cNvSpPr txBox="1">
                          <a:spLocks noChangeArrowheads="1"/>
                        </wps:cNvSpPr>
                        <wps:spPr bwMode="auto">
                          <a:xfrm>
                            <a:off x="2158" y="9120"/>
                            <a:ext cx="7562"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E5" w:rsidRPr="004337C1" w:rsidRDefault="001063E5" w:rsidP="000448A8">
                              <w:pPr>
                                <w:jc w:val="center"/>
                                <w:rPr>
                                  <w:b/>
                                  <w:sz w:val="24"/>
                                  <w:szCs w:val="24"/>
                                </w:rPr>
                              </w:pPr>
                              <w:r>
                                <w:rPr>
                                  <w:b/>
                                  <w:sz w:val="24"/>
                                  <w:szCs w:val="24"/>
                                </w:rPr>
                                <w:t>Apprentices and t</w:t>
                              </w:r>
                              <w:r w:rsidRPr="004337C1">
                                <w:rPr>
                                  <w:b/>
                                  <w:sz w:val="24"/>
                                  <w:szCs w:val="24"/>
                                </w:rPr>
                                <w:t>rainees</w:t>
                              </w:r>
                            </w:p>
                          </w:txbxContent>
                        </wps:txbx>
                        <wps:bodyPr rot="0" vert="horz" wrap="square" lIns="91440" tIns="45720" rIns="91440" bIns="45720" anchor="t" anchorCtr="0" upright="1">
                          <a:noAutofit/>
                        </wps:bodyPr>
                      </wps:wsp>
                      <wpg:grpSp>
                        <wpg:cNvPr id="5" name="Group 98"/>
                        <wpg:cNvGrpSpPr>
                          <a:grpSpLocks/>
                        </wpg:cNvGrpSpPr>
                        <wpg:grpSpPr bwMode="auto">
                          <a:xfrm>
                            <a:off x="2159" y="9686"/>
                            <a:ext cx="7486" cy="1596"/>
                            <a:chOff x="2159" y="9686"/>
                            <a:chExt cx="7486" cy="1596"/>
                          </a:xfrm>
                        </wpg:grpSpPr>
                        <wps:wsp>
                          <wps:cNvPr id="6" name="Text Box 99"/>
                          <wps:cNvSpPr txBox="1">
                            <a:spLocks noChangeArrowheads="1"/>
                          </wps:cNvSpPr>
                          <wps:spPr bwMode="auto">
                            <a:xfrm>
                              <a:off x="6783" y="10255"/>
                              <a:ext cx="1374" cy="421"/>
                            </a:xfrm>
                            <a:prstGeom prst="rect">
                              <a:avLst/>
                            </a:prstGeom>
                            <a:solidFill>
                              <a:srgbClr val="FFFFFF"/>
                            </a:solidFill>
                            <a:ln w="9525">
                              <a:solidFill>
                                <a:srgbClr val="000000"/>
                              </a:solidFill>
                              <a:miter lim="800000"/>
                              <a:headEnd/>
                              <a:tailEnd/>
                            </a:ln>
                          </wps:spPr>
                          <wps:txbx>
                            <w:txbxContent>
                              <w:p w:rsidR="001063E5" w:rsidRDefault="001063E5" w:rsidP="000448A8">
                                <w:pPr>
                                  <w:jc w:val="center"/>
                                </w:pPr>
                                <w:r w:rsidRPr="00D61E94">
                                  <w:rPr>
                                    <w:sz w:val="20"/>
                                  </w:rPr>
                                  <w:t>Cancelled</w:t>
                                </w:r>
                              </w:p>
                            </w:txbxContent>
                          </wps:txbx>
                          <wps:bodyPr rot="0" vert="horz" wrap="square" lIns="91440" tIns="45720" rIns="91440" bIns="45720" anchor="t" anchorCtr="0" upright="1">
                            <a:noAutofit/>
                          </wps:bodyPr>
                        </wps:wsp>
                        <wpg:grpSp>
                          <wpg:cNvPr id="8" name="Group 100"/>
                          <wpg:cNvGrpSpPr>
                            <a:grpSpLocks/>
                          </wpg:cNvGrpSpPr>
                          <wpg:grpSpPr bwMode="auto">
                            <a:xfrm>
                              <a:off x="2159" y="9686"/>
                              <a:ext cx="7486" cy="1596"/>
                              <a:chOff x="2159" y="9686"/>
                              <a:chExt cx="7486" cy="1596"/>
                            </a:xfrm>
                          </wpg:grpSpPr>
                          <wps:wsp>
                            <wps:cNvPr id="9" name="Text Box 101"/>
                            <wps:cNvSpPr txBox="1">
                              <a:spLocks noChangeArrowheads="1"/>
                            </wps:cNvSpPr>
                            <wps:spPr bwMode="auto">
                              <a:xfrm>
                                <a:off x="2159" y="9686"/>
                                <a:ext cx="3515"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E5" w:rsidRPr="00745279" w:rsidRDefault="001063E5" w:rsidP="000448A8">
                                  <w:pPr>
                                    <w:rPr>
                                      <w:b/>
                                      <w:sz w:val="20"/>
                                    </w:rPr>
                                  </w:pPr>
                                  <w:r w:rsidRPr="00745279">
                                    <w:rPr>
                                      <w:b/>
                                      <w:sz w:val="20"/>
                                    </w:rPr>
                                    <w:t>Contract completion rate</w:t>
                                  </w:r>
                                </w:p>
                              </w:txbxContent>
                            </wps:txbx>
                            <wps:bodyPr rot="0" vert="horz" wrap="square" lIns="91440" tIns="45720" rIns="91440" bIns="45720" anchor="t" anchorCtr="0" upright="1">
                              <a:noAutofit/>
                            </wps:bodyPr>
                          </wps:wsp>
                          <wpg:grpSp>
                            <wpg:cNvPr id="10" name="Group 102"/>
                            <wpg:cNvGrpSpPr>
                              <a:grpSpLocks/>
                            </wpg:cNvGrpSpPr>
                            <wpg:grpSpPr bwMode="auto">
                              <a:xfrm>
                                <a:off x="2906" y="10161"/>
                                <a:ext cx="6739" cy="1121"/>
                                <a:chOff x="2906" y="10161"/>
                                <a:chExt cx="6739" cy="1121"/>
                              </a:xfrm>
                            </wpg:grpSpPr>
                            <wps:wsp>
                              <wps:cNvPr id="11" name="Text Box 103"/>
                              <wps:cNvSpPr txBox="1">
                                <a:spLocks noChangeArrowheads="1"/>
                              </wps:cNvSpPr>
                              <wps:spPr bwMode="auto">
                                <a:xfrm>
                                  <a:off x="3027" y="10255"/>
                                  <a:ext cx="1345" cy="391"/>
                                </a:xfrm>
                                <a:prstGeom prst="rect">
                                  <a:avLst/>
                                </a:prstGeom>
                                <a:solidFill>
                                  <a:srgbClr val="FFFFFF"/>
                                </a:solidFill>
                                <a:ln w="9525">
                                  <a:solidFill>
                                    <a:srgbClr val="000000"/>
                                  </a:solidFill>
                                  <a:miter lim="800000"/>
                                  <a:headEnd/>
                                  <a:tailEnd/>
                                </a:ln>
                              </wps:spPr>
                              <wps:txbx>
                                <w:txbxContent>
                                  <w:p w:rsidR="001063E5" w:rsidRDefault="001063E5" w:rsidP="000448A8">
                                    <w:pPr>
                                      <w:jc w:val="center"/>
                                    </w:pPr>
                                    <w:r w:rsidRPr="00D61E94">
                                      <w:rPr>
                                        <w:sz w:val="20"/>
                                      </w:rPr>
                                      <w:t>Contract</w:t>
                                    </w:r>
                                    <w:r>
                                      <w:t xml:space="preserve"> </w:t>
                                    </w:r>
                                    <w:r w:rsidRPr="005C24E5">
                                      <w:rPr>
                                        <w:sz w:val="20"/>
                                      </w:rPr>
                                      <w:t>1</w:t>
                                    </w:r>
                                  </w:p>
                                </w:txbxContent>
                              </wps:txbx>
                              <wps:bodyPr rot="0" vert="horz" wrap="square" lIns="91440" tIns="45720" rIns="91440" bIns="45720" anchor="t" anchorCtr="0" upright="1">
                                <a:noAutofit/>
                              </wps:bodyPr>
                            </wps:wsp>
                            <wps:wsp>
                              <wps:cNvPr id="12" name="Text Box 104"/>
                              <wps:cNvSpPr txBox="1">
                                <a:spLocks noChangeArrowheads="1"/>
                              </wps:cNvSpPr>
                              <wps:spPr bwMode="auto">
                                <a:xfrm>
                                  <a:off x="3027" y="10795"/>
                                  <a:ext cx="1345" cy="392"/>
                                </a:xfrm>
                                <a:prstGeom prst="rect">
                                  <a:avLst/>
                                </a:prstGeom>
                                <a:solidFill>
                                  <a:srgbClr val="FFFFFF"/>
                                </a:solidFill>
                                <a:ln w="9525">
                                  <a:solidFill>
                                    <a:srgbClr val="000000"/>
                                  </a:solidFill>
                                  <a:miter lim="800000"/>
                                  <a:headEnd/>
                                  <a:tailEnd/>
                                </a:ln>
                              </wps:spPr>
                              <wps:txbx>
                                <w:txbxContent>
                                  <w:p w:rsidR="001063E5" w:rsidRDefault="001063E5" w:rsidP="000448A8">
                                    <w:pPr>
                                      <w:jc w:val="center"/>
                                    </w:pPr>
                                    <w:r w:rsidRPr="00D61E94">
                                      <w:rPr>
                                        <w:sz w:val="20"/>
                                      </w:rPr>
                                      <w:t>Contract</w:t>
                                    </w:r>
                                    <w:r>
                                      <w:t xml:space="preserve"> </w:t>
                                    </w:r>
                                    <w:r w:rsidRPr="005C24E5">
                                      <w:rPr>
                                        <w:sz w:val="20"/>
                                      </w:rPr>
                                      <w:t>2</w:t>
                                    </w:r>
                                  </w:p>
                                </w:txbxContent>
                              </wps:txbx>
                              <wps:bodyPr rot="0" vert="horz" wrap="square" lIns="91440" tIns="45720" rIns="91440" bIns="45720" anchor="t" anchorCtr="0" upright="1">
                                <a:noAutofit/>
                              </wps:bodyPr>
                            </wps:wsp>
                            <wps:wsp>
                              <wps:cNvPr id="13" name="AutoShape 105"/>
                              <wps:cNvCnPr>
                                <a:cxnSpLocks noChangeShapeType="1"/>
                              </wps:cNvCnPr>
                              <wps:spPr bwMode="auto">
                                <a:xfrm>
                                  <a:off x="4372" y="10480"/>
                                  <a:ext cx="2260"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 name="AutoShape 106"/>
                              <wps:cNvCnPr>
                                <a:cxnSpLocks noChangeShapeType="1"/>
                              </wps:cNvCnPr>
                              <wps:spPr bwMode="auto">
                                <a:xfrm>
                                  <a:off x="4372" y="11010"/>
                                  <a:ext cx="37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07"/>
                              <wps:cNvSpPr txBox="1">
                                <a:spLocks noChangeArrowheads="1"/>
                              </wps:cNvSpPr>
                              <wps:spPr bwMode="auto">
                                <a:xfrm>
                                  <a:off x="8271" y="10811"/>
                                  <a:ext cx="1374" cy="407"/>
                                </a:xfrm>
                                <a:prstGeom prst="rect">
                                  <a:avLst/>
                                </a:prstGeom>
                                <a:solidFill>
                                  <a:srgbClr val="FFFFFF"/>
                                </a:solidFill>
                                <a:ln w="9525">
                                  <a:solidFill>
                                    <a:srgbClr val="000000"/>
                                  </a:solidFill>
                                  <a:miter lim="800000"/>
                                  <a:headEnd/>
                                  <a:tailEnd/>
                                </a:ln>
                              </wps:spPr>
                              <wps:txbx>
                                <w:txbxContent>
                                  <w:p w:rsidR="001063E5" w:rsidRPr="005C24E5" w:rsidRDefault="001063E5" w:rsidP="00705B7D">
                                    <w:pPr>
                                      <w:spacing w:after="0" w:line="240" w:lineRule="auto"/>
                                      <w:jc w:val="center"/>
                                      <w:rPr>
                                        <w:sz w:val="20"/>
                                      </w:rPr>
                                    </w:pPr>
                                    <w:r w:rsidRPr="00D61E94">
                                      <w:rPr>
                                        <w:sz w:val="20"/>
                                      </w:rPr>
                                      <w:t>Completed</w:t>
                                    </w:r>
                                  </w:p>
                                </w:txbxContent>
                              </wps:txbx>
                              <wps:bodyPr rot="0" vert="horz" wrap="square" lIns="91440" tIns="45720" rIns="91440" bIns="45720" anchor="t" anchorCtr="0" upright="1">
                                <a:noAutofit/>
                              </wps:bodyPr>
                            </wps:wsp>
                            <wps:wsp>
                              <wps:cNvPr id="16" name="Rectangle 108"/>
                              <wps:cNvSpPr>
                                <a:spLocks noChangeArrowheads="1"/>
                              </wps:cNvSpPr>
                              <wps:spPr bwMode="auto">
                                <a:xfrm>
                                  <a:off x="2906" y="10161"/>
                                  <a:ext cx="1577" cy="112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17" name="Group 109"/>
                        <wpg:cNvGrpSpPr>
                          <a:grpSpLocks/>
                        </wpg:cNvGrpSpPr>
                        <wpg:grpSpPr bwMode="auto">
                          <a:xfrm>
                            <a:off x="2161" y="11586"/>
                            <a:ext cx="7484" cy="1864"/>
                            <a:chOff x="2161" y="11586"/>
                            <a:chExt cx="7484" cy="1864"/>
                          </a:xfrm>
                        </wpg:grpSpPr>
                        <wpg:grpSp>
                          <wpg:cNvPr id="18" name="Group 110"/>
                          <wpg:cNvGrpSpPr>
                            <a:grpSpLocks/>
                          </wpg:cNvGrpSpPr>
                          <wpg:grpSpPr bwMode="auto">
                            <a:xfrm>
                              <a:off x="2161" y="11586"/>
                              <a:ext cx="5985" cy="1864"/>
                              <a:chOff x="2161" y="11586"/>
                              <a:chExt cx="5985" cy="1864"/>
                            </a:xfrm>
                          </wpg:grpSpPr>
                          <wps:wsp>
                            <wps:cNvPr id="19" name="Text Box 111"/>
                            <wps:cNvSpPr txBox="1">
                              <a:spLocks noChangeArrowheads="1"/>
                            </wps:cNvSpPr>
                            <wps:spPr bwMode="auto">
                              <a:xfrm>
                                <a:off x="2161" y="11586"/>
                                <a:ext cx="3514"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3E5" w:rsidRPr="00745279" w:rsidRDefault="001063E5" w:rsidP="000448A8">
                                  <w:pPr>
                                    <w:rPr>
                                      <w:b/>
                                      <w:sz w:val="20"/>
                                    </w:rPr>
                                  </w:pPr>
                                  <w:r w:rsidRPr="00745279">
                                    <w:rPr>
                                      <w:b/>
                                      <w:sz w:val="20"/>
                                    </w:rPr>
                                    <w:t>Individual completion rate</w:t>
                                  </w:r>
                                </w:p>
                              </w:txbxContent>
                            </wps:txbx>
                            <wps:bodyPr rot="0" vert="horz" wrap="square" lIns="91440" tIns="45720" rIns="91440" bIns="45720" anchor="t" anchorCtr="0" upright="1">
                              <a:noAutofit/>
                            </wps:bodyPr>
                          </wps:wsp>
                          <wps:wsp>
                            <wps:cNvPr id="20" name="AutoShape 112"/>
                            <wps:cNvCnPr>
                              <a:cxnSpLocks noChangeShapeType="1"/>
                            </wps:cNvCnPr>
                            <wps:spPr bwMode="auto">
                              <a:xfrm>
                                <a:off x="4027" y="13042"/>
                                <a:ext cx="2605" cy="1"/>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1" name="AutoShape 113"/>
                            <wps:cNvCnPr>
                              <a:cxnSpLocks noChangeShapeType="1"/>
                            </wps:cNvCnPr>
                            <wps:spPr bwMode="auto">
                              <a:xfrm>
                                <a:off x="4027" y="12406"/>
                                <a:ext cx="411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14"/>
                            <wps:cNvSpPr>
                              <a:spLocks noChangeArrowheads="1"/>
                            </wps:cNvSpPr>
                            <wps:spPr bwMode="auto">
                              <a:xfrm>
                                <a:off x="2902" y="12062"/>
                                <a:ext cx="1581" cy="138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Text Box 115"/>
                          <wps:cNvSpPr txBox="1">
                            <a:spLocks noChangeArrowheads="1"/>
                          </wps:cNvSpPr>
                          <wps:spPr bwMode="auto">
                            <a:xfrm>
                              <a:off x="8271" y="12199"/>
                              <a:ext cx="1374" cy="407"/>
                            </a:xfrm>
                            <a:prstGeom prst="rect">
                              <a:avLst/>
                            </a:prstGeom>
                            <a:solidFill>
                              <a:srgbClr val="FFFFFF"/>
                            </a:solidFill>
                            <a:ln w="9525">
                              <a:solidFill>
                                <a:srgbClr val="000000"/>
                              </a:solidFill>
                              <a:miter lim="800000"/>
                              <a:headEnd/>
                              <a:tailEnd/>
                            </a:ln>
                          </wps:spPr>
                          <wps:txbx>
                            <w:txbxContent>
                              <w:p w:rsidR="001063E5" w:rsidRPr="005C24E5" w:rsidRDefault="001063E5" w:rsidP="00705B7D">
                                <w:pPr>
                                  <w:spacing w:after="0" w:line="240" w:lineRule="auto"/>
                                  <w:jc w:val="center"/>
                                  <w:rPr>
                                    <w:sz w:val="20"/>
                                  </w:rPr>
                                </w:pPr>
                                <w:r w:rsidRPr="00D61E94">
                                  <w:rPr>
                                    <w:sz w:val="20"/>
                                  </w:rPr>
                                  <w:t>Completed</w:t>
                                </w:r>
                              </w:p>
                            </w:txbxContent>
                          </wps:txbx>
                          <wps:bodyPr rot="0" vert="horz" wrap="square" lIns="91440" tIns="45720" rIns="91440" bIns="45720" anchor="t" anchorCtr="0" upright="1">
                            <a:noAutofit/>
                          </wps:bodyPr>
                        </wps:wsp>
                        <wps:wsp>
                          <wps:cNvPr id="24" name="Text Box 116"/>
                          <wps:cNvSpPr txBox="1">
                            <a:spLocks noChangeArrowheads="1"/>
                          </wps:cNvSpPr>
                          <wps:spPr bwMode="auto">
                            <a:xfrm>
                              <a:off x="6783" y="12842"/>
                              <a:ext cx="1429" cy="411"/>
                            </a:xfrm>
                            <a:prstGeom prst="rect">
                              <a:avLst/>
                            </a:prstGeom>
                            <a:solidFill>
                              <a:srgbClr val="FFFFFF"/>
                            </a:solidFill>
                            <a:ln w="9525">
                              <a:solidFill>
                                <a:srgbClr val="000000"/>
                              </a:solidFill>
                              <a:miter lim="800000"/>
                              <a:headEnd/>
                              <a:tailEnd/>
                            </a:ln>
                          </wps:spPr>
                          <wps:txbx>
                            <w:txbxContent>
                              <w:p w:rsidR="001063E5" w:rsidRPr="005C24E5" w:rsidRDefault="001063E5" w:rsidP="000448A8">
                                <w:pPr>
                                  <w:jc w:val="center"/>
                                  <w:rPr>
                                    <w:sz w:val="20"/>
                                  </w:rPr>
                                </w:pPr>
                                <w:r w:rsidRPr="00D61E94">
                                  <w:rPr>
                                    <w:sz w:val="20"/>
                                  </w:rPr>
                                  <w:t>Cancelled</w:t>
                                </w:r>
                              </w:p>
                            </w:txbxContent>
                          </wps:txbx>
                          <wps:bodyPr rot="0" vert="horz" wrap="square" lIns="91440" tIns="45720" rIns="91440" bIns="45720" anchor="t" anchorCtr="0" upright="1">
                            <a:noAutofit/>
                          </wps:bodyPr>
                        </wps:wsp>
                      </wpg:grpSp>
                    </wpg:wgp>
                  </a:graphicData>
                </a:graphic>
              </wp:inline>
            </w:drawing>
          </mc:Choice>
          <mc:Fallback>
            <w:pict>
              <v:group id="Group 95" o:spid="_x0000_s1052" style="width:350.1pt;height:213.1pt;mso-position-horizontal-relative:char;mso-position-vertical-relative:line" coordorigin="2031,9016" coordsize="7858,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">
                <v:rect id="Rectangle 96" o:spid="_x0000_s1053" style="position:absolute;left:2031;top:9016;width:7858;height: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97" o:spid="_x0000_s1054" type="#_x0000_t202" style="position:absolute;left:2158;top:9120;width:7562;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063E5" w:rsidRPr="004337C1" w:rsidRDefault="001063E5" w:rsidP="000448A8">
                        <w:pPr>
                          <w:jc w:val="center"/>
                          <w:rPr>
                            <w:b/>
                            <w:sz w:val="24"/>
                            <w:szCs w:val="24"/>
                          </w:rPr>
                        </w:pPr>
                        <w:r>
                          <w:rPr>
                            <w:b/>
                            <w:sz w:val="24"/>
                            <w:szCs w:val="24"/>
                          </w:rPr>
                          <w:t>Apprentices and t</w:t>
                        </w:r>
                        <w:r w:rsidRPr="004337C1">
                          <w:rPr>
                            <w:b/>
                            <w:sz w:val="24"/>
                            <w:szCs w:val="24"/>
                          </w:rPr>
                          <w:t>rainees</w:t>
                        </w:r>
                      </w:p>
                    </w:txbxContent>
                  </v:textbox>
                </v:shape>
                <v:group id="Group 98" o:spid="_x0000_s1055" style="position:absolute;left:2159;top:9686;width:7486;height:1596" coordorigin="2159,9686" coordsize="7486,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99" o:spid="_x0000_s1056" type="#_x0000_t202" style="position:absolute;left:6783;top:10255;width:1374;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063E5" w:rsidRDefault="001063E5" w:rsidP="000448A8">
                          <w:pPr>
                            <w:jc w:val="center"/>
                          </w:pPr>
                          <w:r w:rsidRPr="00D61E94">
                            <w:rPr>
                              <w:sz w:val="20"/>
                            </w:rPr>
                            <w:t>Cancelled</w:t>
                          </w:r>
                        </w:p>
                      </w:txbxContent>
                    </v:textbox>
                  </v:shape>
                  <v:group id="Group 100" o:spid="_x0000_s1057" style="position:absolute;left:2159;top:9686;width:7486;height:1596" coordorigin="2159,9686" coordsize="7486,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1" o:spid="_x0000_s1058" type="#_x0000_t202" style="position:absolute;left:2159;top:9686;width:351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063E5" w:rsidRPr="00745279" w:rsidRDefault="001063E5" w:rsidP="000448A8">
                            <w:pPr>
                              <w:rPr>
                                <w:b/>
                                <w:sz w:val="20"/>
                              </w:rPr>
                            </w:pPr>
                            <w:r w:rsidRPr="00745279">
                              <w:rPr>
                                <w:b/>
                                <w:sz w:val="20"/>
                              </w:rPr>
                              <w:t>Contract completion rate</w:t>
                            </w:r>
                          </w:p>
                        </w:txbxContent>
                      </v:textbox>
                    </v:shape>
                    <v:group id="Group 102" o:spid="_x0000_s1059" style="position:absolute;left:2906;top:10161;width:6739;height:1121" coordorigin="2906,10161" coordsize="6739,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03" o:spid="_x0000_s1060" type="#_x0000_t202" style="position:absolute;left:3027;top:10255;width:134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063E5" w:rsidRDefault="001063E5" w:rsidP="000448A8">
                              <w:pPr>
                                <w:jc w:val="center"/>
                              </w:pPr>
                              <w:r w:rsidRPr="00D61E94">
                                <w:rPr>
                                  <w:sz w:val="20"/>
                                </w:rPr>
                                <w:t>Contract</w:t>
                              </w:r>
                              <w:r>
                                <w:t xml:space="preserve"> </w:t>
                              </w:r>
                              <w:r w:rsidRPr="005C24E5">
                                <w:rPr>
                                  <w:sz w:val="20"/>
                                </w:rPr>
                                <w:t>1</w:t>
                              </w:r>
                            </w:p>
                          </w:txbxContent>
                        </v:textbox>
                      </v:shape>
                      <v:shape id="Text Box 104" o:spid="_x0000_s1061" type="#_x0000_t202" style="position:absolute;left:3027;top:10795;width:1345;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063E5" w:rsidRDefault="001063E5" w:rsidP="000448A8">
                              <w:pPr>
                                <w:jc w:val="center"/>
                              </w:pPr>
                              <w:r w:rsidRPr="00D61E94">
                                <w:rPr>
                                  <w:sz w:val="20"/>
                                </w:rPr>
                                <w:t>Contract</w:t>
                              </w:r>
                              <w:r>
                                <w:t xml:space="preserve"> </w:t>
                              </w:r>
                              <w:r w:rsidRPr="005C24E5">
                                <w:rPr>
                                  <w:sz w:val="20"/>
                                </w:rPr>
                                <w:t>2</w:t>
                              </w:r>
                            </w:p>
                          </w:txbxContent>
                        </v:textbox>
                      </v:shape>
                      <v:shape id="AutoShape 105" o:spid="_x0000_s1062" type="#_x0000_t32" style="position:absolute;left:4372;top:10480;width:2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">
                        <v:stroke endarrow="oval"/>
                      </v:shape>
                      <v:shape id="AutoShape 106" o:spid="_x0000_s1063" type="#_x0000_t32" style="position:absolute;left:4372;top:11010;width:37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107" o:spid="_x0000_s1064" type="#_x0000_t202" style="position:absolute;left:8271;top:10811;width:1374;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1063E5" w:rsidRPr="005C24E5" w:rsidRDefault="001063E5" w:rsidP="00705B7D">
                              <w:pPr>
                                <w:spacing w:after="0" w:line="240" w:lineRule="auto"/>
                                <w:jc w:val="center"/>
                                <w:rPr>
                                  <w:sz w:val="20"/>
                                </w:rPr>
                              </w:pPr>
                              <w:r w:rsidRPr="00D61E94">
                                <w:rPr>
                                  <w:sz w:val="20"/>
                                </w:rPr>
                                <w:t>Completed</w:t>
                              </w:r>
                            </w:p>
                          </w:txbxContent>
                        </v:textbox>
                      </v:shape>
                      <v:rect id="Rectangle 108" o:spid="_x0000_s1065" style="position:absolute;left:2906;top:10161;width:1577;height: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" filled="f">
                        <v:stroke dashstyle="dash"/>
                      </v:rect>
                    </v:group>
                  </v:group>
                </v:group>
                <v:group id="Group 109" o:spid="_x0000_s1066" style="position:absolute;left:2161;top:11586;width:7484;height:1864" coordorigin="2161,11586" coordsize="748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10" o:spid="_x0000_s1067" style="position:absolute;left:2161;top:11586;width:5985;height:1864" coordorigin="2161,11586" coordsize="598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11" o:spid="_x0000_s1068" type="#_x0000_t202" style="position:absolute;left:2161;top:11586;width:3514;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1063E5" w:rsidRPr="00745279" w:rsidRDefault="001063E5" w:rsidP="000448A8">
                            <w:pPr>
                              <w:rPr>
                                <w:b/>
                                <w:sz w:val="20"/>
                              </w:rPr>
                            </w:pPr>
                            <w:r w:rsidRPr="00745279">
                              <w:rPr>
                                <w:b/>
                                <w:sz w:val="20"/>
                              </w:rPr>
                              <w:t>Individual completion rate</w:t>
                            </w:r>
                          </w:p>
                        </w:txbxContent>
                      </v:textbox>
                    </v:shape>
                    <v:shape id="AutoShape 112" o:spid="_x0000_s1069" type="#_x0000_t32" style="position:absolute;left:4027;top:13042;width:260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">
                      <v:stroke endarrow="oval"/>
                    </v:shape>
                    <v:shape id="AutoShape 113" o:spid="_x0000_s1070" type="#_x0000_t32" style="position:absolute;left:4027;top:12406;width:411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Rectangle 114" o:spid="_x0000_s1071" style="position:absolute;left:2902;top:12062;width:1581;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" filled="f">
                      <v:stroke dashstyle="dash"/>
                    </v:rect>
                  </v:group>
                  <v:shape id="Text Box 115" o:spid="_x0000_s1072" type="#_x0000_t202" style="position:absolute;left:8271;top:12199;width:1374;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1063E5" w:rsidRPr="005C24E5" w:rsidRDefault="001063E5" w:rsidP="00705B7D">
                          <w:pPr>
                            <w:spacing w:after="0" w:line="240" w:lineRule="auto"/>
                            <w:jc w:val="center"/>
                            <w:rPr>
                              <w:sz w:val="20"/>
                            </w:rPr>
                          </w:pPr>
                          <w:r w:rsidRPr="00D61E94">
                            <w:rPr>
                              <w:sz w:val="20"/>
                            </w:rPr>
                            <w:t>Completed</w:t>
                          </w:r>
                        </w:p>
                      </w:txbxContent>
                    </v:textbox>
                  </v:shape>
                  <v:shape id="Text Box 116" o:spid="_x0000_s1073" type="#_x0000_t202" style="position:absolute;left:6783;top:12842;width:142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063E5" w:rsidRPr="005C24E5" w:rsidRDefault="001063E5" w:rsidP="000448A8">
                          <w:pPr>
                            <w:jc w:val="center"/>
                            <w:rPr>
                              <w:sz w:val="20"/>
                            </w:rPr>
                          </w:pPr>
                          <w:r w:rsidRPr="00D61E94">
                            <w:rPr>
                              <w:sz w:val="20"/>
                            </w:rPr>
                            <w:t>Cancelled</w:t>
                          </w:r>
                        </w:p>
                      </w:txbxContent>
                    </v:textbox>
                  </v:shape>
                </v:group>
                <w10:anchorlock/>
              </v:group>
            </w:pict>
          </mc:Fallback>
        </mc:AlternateContent>
      </w:r>
      <w:bookmarkEnd w:id="3"/>
    </w:p>
    <w:p w:rsidR="000448A8" w:rsidRPr="00861F0D" w:rsidRDefault="000448A8" w:rsidP="000448A8">
      <w:pPr>
        <w:pStyle w:val="Source"/>
        <w:spacing w:before="160"/>
        <w:rPr>
          <w:noProof/>
          <w:sz w:val="18"/>
          <w:szCs w:val="18"/>
          <w:lang w:eastAsia="en-AU"/>
        </w:rPr>
      </w:pPr>
      <w:r w:rsidRPr="00861F0D">
        <w:rPr>
          <w:noProof/>
          <w:sz w:val="18"/>
          <w:szCs w:val="18"/>
          <w:lang w:eastAsia="en-AU"/>
        </w:rPr>
        <w:t>Note:</w:t>
      </w:r>
      <w:r w:rsidRPr="00861F0D">
        <w:rPr>
          <w:noProof/>
          <w:sz w:val="18"/>
          <w:szCs w:val="18"/>
          <w:lang w:eastAsia="en-AU"/>
        </w:rPr>
        <w:tab/>
        <w:t xml:space="preserve">For apprentices and trainees, we consider completion rates at either the contract level, or at the individual level. The particular level selected determines what or who we need to track. </w:t>
      </w:r>
    </w:p>
    <w:p w:rsidR="00E449B6" w:rsidRDefault="00E449B6" w:rsidP="000448A8">
      <w:pPr>
        <w:spacing w:after="0" w:line="240" w:lineRule="auto"/>
        <w:rPr>
          <w:b/>
          <w:sz w:val="24"/>
          <w:szCs w:val="24"/>
        </w:rPr>
      </w:pPr>
      <w:bookmarkStart w:id="4" w:name="_Toc309043799"/>
    </w:p>
    <w:p w:rsidR="000448A8" w:rsidRDefault="000448A8" w:rsidP="000448A8">
      <w:pPr>
        <w:spacing w:after="0" w:line="240" w:lineRule="auto"/>
        <w:rPr>
          <w:b/>
          <w:sz w:val="24"/>
          <w:szCs w:val="24"/>
        </w:rPr>
      </w:pPr>
      <w:r w:rsidRPr="000448A8">
        <w:rPr>
          <w:b/>
          <w:sz w:val="24"/>
          <w:szCs w:val="24"/>
        </w:rPr>
        <w:t>What is the period of time we are tracking over?</w:t>
      </w:r>
      <w:bookmarkEnd w:id="4"/>
    </w:p>
    <w:p w:rsidR="00BE2203" w:rsidRPr="000448A8" w:rsidRDefault="00BE2203" w:rsidP="000448A8">
      <w:pPr>
        <w:spacing w:after="0" w:line="240" w:lineRule="auto"/>
        <w:rPr>
          <w:b/>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Ideally, to calculate the course completion rate, we need to wait for all students who started at a given time to either complete or drop out of their course. That is, we need to track each course from start to finish. Only when all courses are accounted for will we know the true course completion rate. However, this could take years. For example, an advanced diploma is generally two years of full-time study, but could take many years if undertaken on a part-time basis. </w:t>
      </w: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lastRenderedPageBreak/>
        <w:t xml:space="preserve">Hence the longer we wait, the higher the completion rate will be. However, the data become more and more out of date the longer we wait. Therefore, we need to compromise and choose an appropriate ‘time window’ over which to track a cohort. We track a cohort for a particular window only, and then apply an appropriate technique to estimate the overall completion rate. The techniques used to estimate the rates are described in the next section. For now, we look at the time windows. </w:t>
      </w:r>
    </w:p>
    <w:p w:rsidR="00BE2203" w:rsidRPr="00BE2203" w:rsidRDefault="00BE2203" w:rsidP="00B37119">
      <w:pPr>
        <w:pStyle w:val="Text"/>
        <w:spacing w:before="0" w:line="240" w:lineRule="auto"/>
        <w:jc w:val="both"/>
        <w:rPr>
          <w:rFonts w:asciiTheme="minorHAnsi" w:hAnsiTheme="minorHAnsi"/>
          <w:sz w:val="24"/>
          <w:szCs w:val="24"/>
        </w:rPr>
      </w:pPr>
    </w:p>
    <w:p w:rsidR="000448A8" w:rsidRPr="00BE2203"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A time window is the length of time from the cohort’s starting time until we cease monitoring the cohort. The time windows for various completion rates are shown in table 1. Note that the term ‘projected contract completion rate’ is used to refer to a more up-to-date estimate of the contract completion rate. The projected contract completion rate is based on a much shorter time window (one quarter) than is the regular contract completion rate (four years). Similarly, the term ‘projected qualification completion rate’ indicates that the rate is an estimate of the true qualification completion rate. </w:t>
      </w:r>
    </w:p>
    <w:p w:rsidR="000448A8" w:rsidRPr="00BE2203" w:rsidRDefault="000448A8" w:rsidP="000448A8">
      <w:pPr>
        <w:pStyle w:val="tabletitle"/>
        <w:rPr>
          <w:rFonts w:ascii="Arial" w:hAnsi="Arial" w:cs="Arial"/>
          <w:sz w:val="20"/>
        </w:rPr>
      </w:pPr>
      <w:bookmarkStart w:id="5" w:name="_Toc311991630"/>
      <w:r w:rsidRPr="00BE2203">
        <w:rPr>
          <w:rFonts w:ascii="Arial" w:hAnsi="Arial" w:cs="Arial"/>
          <w:sz w:val="20"/>
        </w:rPr>
        <w:t>Table 1</w:t>
      </w:r>
      <w:r w:rsidRPr="00BE2203">
        <w:rPr>
          <w:rFonts w:ascii="Arial" w:hAnsi="Arial" w:cs="Arial"/>
          <w:sz w:val="20"/>
        </w:rPr>
        <w:tab/>
        <w:t>Length of the time windows for various completion rates</w:t>
      </w:r>
      <w:bookmarkEnd w:id="5"/>
      <w:r w:rsidRPr="00BE2203">
        <w:rPr>
          <w:rFonts w:ascii="Arial" w:hAnsi="Arial" w:cs="Arial"/>
          <w:sz w:val="20"/>
        </w:rPr>
        <w:t xml:space="preserve"> </w:t>
      </w:r>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402"/>
        <w:gridCol w:w="2693"/>
        <w:gridCol w:w="2694"/>
      </w:tblGrid>
      <w:tr w:rsidR="000448A8" w:rsidTr="00BE2203">
        <w:trPr>
          <w:cantSplit/>
        </w:trPr>
        <w:tc>
          <w:tcPr>
            <w:tcW w:w="3402" w:type="dxa"/>
            <w:tcBorders>
              <w:top w:val="single" w:sz="4" w:space="0" w:color="auto"/>
              <w:bottom w:val="single" w:sz="4" w:space="0" w:color="auto"/>
              <w:right w:val="nil"/>
            </w:tcBorders>
          </w:tcPr>
          <w:p w:rsidR="000448A8" w:rsidRPr="00BE2203" w:rsidRDefault="000448A8" w:rsidP="00BE2203">
            <w:pPr>
              <w:pStyle w:val="Tablehead1"/>
              <w:rPr>
                <w:sz w:val="18"/>
                <w:szCs w:val="18"/>
              </w:rPr>
            </w:pPr>
            <w:r w:rsidRPr="00BE2203">
              <w:rPr>
                <w:sz w:val="18"/>
                <w:szCs w:val="18"/>
              </w:rPr>
              <w:t>Completion rate</w:t>
            </w:r>
          </w:p>
        </w:tc>
        <w:tc>
          <w:tcPr>
            <w:tcW w:w="2693" w:type="dxa"/>
            <w:tcBorders>
              <w:top w:val="single" w:sz="4" w:space="0" w:color="auto"/>
              <w:left w:val="nil"/>
              <w:bottom w:val="single" w:sz="4" w:space="0" w:color="auto"/>
            </w:tcBorders>
          </w:tcPr>
          <w:p w:rsidR="000448A8" w:rsidRPr="00BE2203" w:rsidRDefault="000448A8" w:rsidP="00BE2203">
            <w:pPr>
              <w:pStyle w:val="Tablehead1"/>
              <w:rPr>
                <w:sz w:val="18"/>
                <w:szCs w:val="18"/>
              </w:rPr>
            </w:pPr>
            <w:r w:rsidRPr="00BE2203">
              <w:rPr>
                <w:sz w:val="18"/>
                <w:szCs w:val="18"/>
              </w:rPr>
              <w:t>Who for</w:t>
            </w:r>
          </w:p>
        </w:tc>
        <w:tc>
          <w:tcPr>
            <w:tcW w:w="2694" w:type="dxa"/>
            <w:tcBorders>
              <w:top w:val="single" w:sz="4" w:space="0" w:color="auto"/>
              <w:left w:val="nil"/>
              <w:bottom w:val="single" w:sz="4" w:space="0" w:color="auto"/>
            </w:tcBorders>
          </w:tcPr>
          <w:p w:rsidR="000448A8" w:rsidRPr="00BE2203" w:rsidRDefault="000448A8" w:rsidP="00BE2203">
            <w:pPr>
              <w:pStyle w:val="Tablehead1"/>
              <w:rPr>
                <w:sz w:val="18"/>
                <w:szCs w:val="18"/>
              </w:rPr>
            </w:pPr>
            <w:r w:rsidRPr="00BE2203">
              <w:rPr>
                <w:sz w:val="18"/>
                <w:szCs w:val="18"/>
              </w:rPr>
              <w:t>Time window</w:t>
            </w:r>
          </w:p>
        </w:tc>
      </w:tr>
      <w:tr w:rsidR="000448A8" w:rsidTr="00BE2203">
        <w:trPr>
          <w:cantSplit/>
        </w:trPr>
        <w:tc>
          <w:tcPr>
            <w:tcW w:w="3402" w:type="dxa"/>
            <w:tcBorders>
              <w:top w:val="single" w:sz="4" w:space="0" w:color="auto"/>
              <w:bottom w:val="nil"/>
              <w:right w:val="nil"/>
            </w:tcBorders>
          </w:tcPr>
          <w:p w:rsidR="000448A8" w:rsidRPr="00BE2203" w:rsidRDefault="000448A8" w:rsidP="00BE2203">
            <w:pPr>
              <w:pStyle w:val="Tabletext"/>
              <w:rPr>
                <w:sz w:val="18"/>
                <w:szCs w:val="18"/>
              </w:rPr>
            </w:pPr>
            <w:r w:rsidRPr="00BE2203">
              <w:rPr>
                <w:sz w:val="18"/>
                <w:szCs w:val="18"/>
              </w:rPr>
              <w:t>Projected qualification completion rate</w:t>
            </w:r>
          </w:p>
        </w:tc>
        <w:tc>
          <w:tcPr>
            <w:tcW w:w="2693" w:type="dxa"/>
            <w:tcBorders>
              <w:top w:val="single" w:sz="4" w:space="0" w:color="auto"/>
              <w:left w:val="nil"/>
            </w:tcBorders>
          </w:tcPr>
          <w:p w:rsidR="000448A8" w:rsidRPr="00BE2203" w:rsidRDefault="000448A8" w:rsidP="00BE2203">
            <w:pPr>
              <w:pStyle w:val="Tabletext"/>
              <w:ind w:left="176" w:hanging="176"/>
              <w:rPr>
                <w:sz w:val="18"/>
                <w:szCs w:val="18"/>
              </w:rPr>
            </w:pPr>
            <w:r w:rsidRPr="00BE2203">
              <w:rPr>
                <w:sz w:val="18"/>
                <w:szCs w:val="18"/>
              </w:rPr>
              <w:t>VET students</w:t>
            </w:r>
          </w:p>
        </w:tc>
        <w:tc>
          <w:tcPr>
            <w:tcW w:w="2694" w:type="dxa"/>
            <w:tcBorders>
              <w:top w:val="single" w:sz="4" w:space="0" w:color="auto"/>
              <w:left w:val="nil"/>
            </w:tcBorders>
          </w:tcPr>
          <w:p w:rsidR="000448A8" w:rsidRPr="00BE2203" w:rsidRDefault="000448A8" w:rsidP="00BE2203">
            <w:pPr>
              <w:pStyle w:val="Tabletext"/>
              <w:rPr>
                <w:sz w:val="18"/>
                <w:szCs w:val="18"/>
              </w:rPr>
            </w:pPr>
            <w:r w:rsidRPr="00BE2203">
              <w:rPr>
                <w:sz w:val="18"/>
                <w:szCs w:val="18"/>
              </w:rPr>
              <w:t>1 year</w:t>
            </w:r>
          </w:p>
        </w:tc>
      </w:tr>
      <w:tr w:rsidR="000448A8" w:rsidTr="00BE2203">
        <w:trPr>
          <w:cantSplit/>
        </w:trPr>
        <w:tc>
          <w:tcPr>
            <w:tcW w:w="3402" w:type="dxa"/>
            <w:tcBorders>
              <w:top w:val="nil"/>
              <w:bottom w:val="nil"/>
              <w:right w:val="nil"/>
            </w:tcBorders>
          </w:tcPr>
          <w:p w:rsidR="000448A8" w:rsidRPr="00BE2203" w:rsidRDefault="000448A8" w:rsidP="00BE2203">
            <w:pPr>
              <w:pStyle w:val="Tabletext"/>
              <w:rPr>
                <w:sz w:val="18"/>
                <w:szCs w:val="18"/>
              </w:rPr>
            </w:pPr>
            <w:r w:rsidRPr="00BE2203">
              <w:rPr>
                <w:sz w:val="18"/>
                <w:szCs w:val="18"/>
              </w:rPr>
              <w:t>Contract completion rate</w:t>
            </w:r>
          </w:p>
        </w:tc>
        <w:tc>
          <w:tcPr>
            <w:tcW w:w="2693" w:type="dxa"/>
            <w:tcBorders>
              <w:left w:val="nil"/>
            </w:tcBorders>
          </w:tcPr>
          <w:p w:rsidR="000448A8" w:rsidRPr="00BE2203" w:rsidRDefault="000448A8" w:rsidP="00BE2203">
            <w:pPr>
              <w:pStyle w:val="Tabletext"/>
              <w:rPr>
                <w:sz w:val="18"/>
                <w:szCs w:val="18"/>
              </w:rPr>
            </w:pPr>
            <w:r w:rsidRPr="00BE2203">
              <w:rPr>
                <w:sz w:val="18"/>
                <w:szCs w:val="18"/>
              </w:rPr>
              <w:t>Apprentices and trainees</w:t>
            </w:r>
          </w:p>
        </w:tc>
        <w:tc>
          <w:tcPr>
            <w:tcW w:w="2694" w:type="dxa"/>
            <w:tcBorders>
              <w:left w:val="nil"/>
            </w:tcBorders>
          </w:tcPr>
          <w:p w:rsidR="000448A8" w:rsidRPr="00BE2203" w:rsidRDefault="000448A8" w:rsidP="00BE2203">
            <w:pPr>
              <w:pStyle w:val="Tabletext"/>
              <w:rPr>
                <w:sz w:val="18"/>
                <w:szCs w:val="18"/>
              </w:rPr>
            </w:pPr>
            <w:r w:rsidRPr="00BE2203">
              <w:rPr>
                <w:sz w:val="18"/>
                <w:szCs w:val="18"/>
              </w:rPr>
              <w:t>4 years</w:t>
            </w:r>
          </w:p>
        </w:tc>
      </w:tr>
      <w:tr w:rsidR="000448A8" w:rsidTr="00BE2203">
        <w:trPr>
          <w:cantSplit/>
        </w:trPr>
        <w:tc>
          <w:tcPr>
            <w:tcW w:w="3402" w:type="dxa"/>
            <w:tcBorders>
              <w:top w:val="nil"/>
              <w:bottom w:val="nil"/>
              <w:right w:val="nil"/>
            </w:tcBorders>
          </w:tcPr>
          <w:p w:rsidR="000448A8" w:rsidRPr="00BE2203" w:rsidRDefault="000448A8" w:rsidP="00BE2203">
            <w:pPr>
              <w:pStyle w:val="Tabletext"/>
              <w:rPr>
                <w:sz w:val="18"/>
                <w:szCs w:val="18"/>
              </w:rPr>
            </w:pPr>
            <w:r w:rsidRPr="00BE2203">
              <w:rPr>
                <w:sz w:val="18"/>
                <w:szCs w:val="18"/>
              </w:rPr>
              <w:t>Individual completion rate</w:t>
            </w:r>
          </w:p>
        </w:tc>
        <w:tc>
          <w:tcPr>
            <w:tcW w:w="2693" w:type="dxa"/>
            <w:tcBorders>
              <w:left w:val="nil"/>
            </w:tcBorders>
          </w:tcPr>
          <w:p w:rsidR="000448A8" w:rsidRPr="00BE2203" w:rsidRDefault="000448A8" w:rsidP="00BE2203">
            <w:pPr>
              <w:pStyle w:val="Tabletext"/>
              <w:rPr>
                <w:sz w:val="18"/>
                <w:szCs w:val="18"/>
              </w:rPr>
            </w:pPr>
            <w:r w:rsidRPr="00BE2203">
              <w:rPr>
                <w:sz w:val="18"/>
                <w:szCs w:val="18"/>
              </w:rPr>
              <w:t>Apprentices and trainees</w:t>
            </w:r>
          </w:p>
        </w:tc>
        <w:tc>
          <w:tcPr>
            <w:tcW w:w="2694" w:type="dxa"/>
            <w:tcBorders>
              <w:left w:val="nil"/>
            </w:tcBorders>
          </w:tcPr>
          <w:p w:rsidR="000448A8" w:rsidRPr="00BE2203" w:rsidRDefault="000448A8" w:rsidP="00BE2203">
            <w:pPr>
              <w:pStyle w:val="Tabletext"/>
              <w:rPr>
                <w:sz w:val="18"/>
                <w:szCs w:val="18"/>
              </w:rPr>
            </w:pPr>
            <w:r w:rsidRPr="00BE2203">
              <w:rPr>
                <w:sz w:val="18"/>
                <w:szCs w:val="18"/>
              </w:rPr>
              <w:t>4 years</w:t>
            </w:r>
          </w:p>
        </w:tc>
      </w:tr>
      <w:tr w:rsidR="000448A8" w:rsidTr="00BE2203">
        <w:trPr>
          <w:cantSplit/>
        </w:trPr>
        <w:tc>
          <w:tcPr>
            <w:tcW w:w="3402" w:type="dxa"/>
            <w:tcBorders>
              <w:top w:val="nil"/>
              <w:bottom w:val="single" w:sz="4" w:space="0" w:color="auto"/>
              <w:right w:val="nil"/>
            </w:tcBorders>
          </w:tcPr>
          <w:p w:rsidR="000448A8" w:rsidRPr="00BE2203" w:rsidRDefault="000448A8" w:rsidP="00BE2203">
            <w:pPr>
              <w:pStyle w:val="Tabletext"/>
              <w:rPr>
                <w:sz w:val="18"/>
                <w:szCs w:val="18"/>
              </w:rPr>
            </w:pPr>
            <w:r w:rsidRPr="00BE2203">
              <w:rPr>
                <w:sz w:val="18"/>
                <w:szCs w:val="18"/>
              </w:rPr>
              <w:t>Projected contract completion rate</w:t>
            </w:r>
          </w:p>
        </w:tc>
        <w:tc>
          <w:tcPr>
            <w:tcW w:w="2693" w:type="dxa"/>
            <w:tcBorders>
              <w:left w:val="nil"/>
              <w:bottom w:val="single" w:sz="4" w:space="0" w:color="auto"/>
            </w:tcBorders>
          </w:tcPr>
          <w:p w:rsidR="000448A8" w:rsidRPr="00BE2203" w:rsidRDefault="000448A8" w:rsidP="00BE2203">
            <w:pPr>
              <w:pStyle w:val="Tabletext"/>
              <w:rPr>
                <w:sz w:val="18"/>
                <w:szCs w:val="18"/>
              </w:rPr>
            </w:pPr>
            <w:r w:rsidRPr="00BE2203">
              <w:rPr>
                <w:sz w:val="18"/>
                <w:szCs w:val="18"/>
              </w:rPr>
              <w:t>Apprentices and trainees</w:t>
            </w:r>
          </w:p>
        </w:tc>
        <w:tc>
          <w:tcPr>
            <w:tcW w:w="2694" w:type="dxa"/>
            <w:tcBorders>
              <w:left w:val="nil"/>
              <w:bottom w:val="single" w:sz="4" w:space="0" w:color="auto"/>
            </w:tcBorders>
          </w:tcPr>
          <w:p w:rsidR="000448A8" w:rsidRPr="00BE2203" w:rsidRDefault="000448A8" w:rsidP="00BE2203">
            <w:pPr>
              <w:pStyle w:val="Tabletext"/>
              <w:rPr>
                <w:sz w:val="18"/>
                <w:szCs w:val="18"/>
              </w:rPr>
            </w:pPr>
            <w:r w:rsidRPr="00BE2203">
              <w:rPr>
                <w:sz w:val="18"/>
                <w:szCs w:val="18"/>
              </w:rPr>
              <w:t>1 quarter</w:t>
            </w:r>
          </w:p>
        </w:tc>
      </w:tr>
    </w:tbl>
    <w:p w:rsidR="00BE2203" w:rsidRDefault="00BE2203" w:rsidP="00BE2203">
      <w:pPr>
        <w:pStyle w:val="Text"/>
        <w:spacing w:before="0" w:line="240" w:lineRule="auto"/>
        <w:rPr>
          <w:rFonts w:asciiTheme="minorHAnsi" w:hAnsiTheme="minorHAnsi"/>
          <w:sz w:val="24"/>
          <w:szCs w:val="24"/>
        </w:rPr>
      </w:pPr>
    </w:p>
    <w:p w:rsidR="000448A8" w:rsidRPr="00BE2203"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Even if we wait long enough for all courses to either be completed or withdrawn from, there is a further problem, because completions are not always reported immediately in the national data collections. There is a delay in reporting completions, meaning that completions occurring in a given year or quarter might take a year or more to be reported (Harvey 2010a). Thus, even for the apprentice and trainee rates which we track for four years, some degree of estimation is still required to account for reporting lags.</w:t>
      </w:r>
    </w:p>
    <w:p w:rsidR="00BE2203" w:rsidRDefault="00BE2203" w:rsidP="000448A8">
      <w:pPr>
        <w:spacing w:after="0" w:line="240" w:lineRule="auto"/>
        <w:rPr>
          <w:b/>
          <w:sz w:val="24"/>
          <w:szCs w:val="24"/>
        </w:rPr>
      </w:pPr>
      <w:bookmarkStart w:id="6" w:name="_Toc309043800"/>
    </w:p>
    <w:p w:rsidR="000448A8" w:rsidRDefault="000448A8" w:rsidP="000448A8">
      <w:pPr>
        <w:spacing w:after="0" w:line="240" w:lineRule="auto"/>
        <w:rPr>
          <w:b/>
          <w:sz w:val="24"/>
          <w:szCs w:val="24"/>
        </w:rPr>
      </w:pPr>
      <w:r w:rsidRPr="000448A8">
        <w:rPr>
          <w:b/>
          <w:sz w:val="24"/>
          <w:szCs w:val="24"/>
        </w:rPr>
        <w:t>How is the rate calculated?</w:t>
      </w:r>
      <w:bookmarkEnd w:id="6"/>
    </w:p>
    <w:p w:rsidR="00BE2203" w:rsidRPr="000448A8" w:rsidRDefault="00BE2203" w:rsidP="000448A8">
      <w:pPr>
        <w:spacing w:after="0" w:line="240" w:lineRule="auto"/>
        <w:rPr>
          <w:b/>
          <w:sz w:val="24"/>
          <w:szCs w:val="24"/>
        </w:rPr>
      </w:pPr>
    </w:p>
    <w:p w:rsidR="00BE2203" w:rsidRDefault="003B554E" w:rsidP="00B37119">
      <w:pPr>
        <w:pStyle w:val="Text"/>
        <w:spacing w:before="0" w:line="240" w:lineRule="auto"/>
        <w:jc w:val="both"/>
        <w:rPr>
          <w:rFonts w:asciiTheme="minorHAnsi" w:hAnsiTheme="minorHAnsi"/>
          <w:sz w:val="24"/>
          <w:szCs w:val="24"/>
        </w:rPr>
      </w:pPr>
      <w:r>
        <w:rPr>
          <w:rFonts w:asciiTheme="minorHAnsi" w:hAnsiTheme="minorHAnsi"/>
          <w:sz w:val="24"/>
          <w:szCs w:val="24"/>
        </w:rPr>
        <w:t>We</w:t>
      </w:r>
      <w:r w:rsidR="000448A8" w:rsidRPr="00BE2203">
        <w:rPr>
          <w:rFonts w:asciiTheme="minorHAnsi" w:hAnsiTheme="minorHAnsi"/>
          <w:sz w:val="24"/>
          <w:szCs w:val="24"/>
        </w:rPr>
        <w:t xml:space="preserve"> briefly outline the techniques </w:t>
      </w:r>
      <w:r w:rsidR="00146E53">
        <w:rPr>
          <w:rFonts w:asciiTheme="minorHAnsi" w:hAnsiTheme="minorHAnsi"/>
          <w:sz w:val="24"/>
          <w:szCs w:val="24"/>
        </w:rPr>
        <w:t xml:space="preserve">used by NCVER </w:t>
      </w:r>
      <w:r w:rsidR="000448A8" w:rsidRPr="00BE2203">
        <w:rPr>
          <w:rFonts w:asciiTheme="minorHAnsi" w:hAnsiTheme="minorHAnsi"/>
          <w:sz w:val="24"/>
          <w:szCs w:val="24"/>
        </w:rPr>
        <w:t>below, providing more detailed step-by-step instructions in table 2.</w:t>
      </w:r>
    </w:p>
    <w:p w:rsidR="00BE2203" w:rsidRDefault="00BE2203" w:rsidP="00BE2203">
      <w:pPr>
        <w:pStyle w:val="Text"/>
        <w:spacing w:before="0" w:line="240" w:lineRule="auto"/>
        <w:rPr>
          <w:rFonts w:asciiTheme="minorHAnsi" w:hAnsiTheme="minorHAnsi"/>
          <w:sz w:val="24"/>
          <w:szCs w:val="24"/>
        </w:rPr>
      </w:pPr>
    </w:p>
    <w:p w:rsidR="00962ADD" w:rsidRDefault="000448A8" w:rsidP="000327E1">
      <w:pPr>
        <w:pStyle w:val="Text"/>
        <w:spacing w:before="0" w:line="240" w:lineRule="auto"/>
        <w:jc w:val="both"/>
        <w:rPr>
          <w:rFonts w:asciiTheme="minorHAnsi" w:hAnsiTheme="minorHAnsi"/>
          <w:sz w:val="24"/>
          <w:szCs w:val="24"/>
        </w:rPr>
      </w:pPr>
      <w:r w:rsidRPr="00BE2203">
        <w:rPr>
          <w:rFonts w:asciiTheme="minorHAnsi" w:hAnsiTheme="minorHAnsi"/>
          <w:sz w:val="24"/>
          <w:szCs w:val="24"/>
        </w:rPr>
        <w:t>For qualification completion rates, we track qualifications for one year only and extrapolate the behaviour observed during this time window to predict the long-term completion rate. That is, we monitor how many qualifications are completed or withdrawn from during the time window and assume that this behaviour pattern will continue in later years. A ‘Markov chain’ methodology is used.</w:t>
      </w:r>
      <w:r w:rsidR="009E048E">
        <w:rPr>
          <w:rFonts w:asciiTheme="minorHAnsi" w:hAnsiTheme="minorHAnsi"/>
          <w:sz w:val="24"/>
          <w:szCs w:val="24"/>
        </w:rPr>
        <w:t xml:space="preserve"> </w:t>
      </w:r>
    </w:p>
    <w:p w:rsidR="00962ADD" w:rsidRDefault="00962ADD" w:rsidP="000327E1">
      <w:pPr>
        <w:pStyle w:val="Text"/>
        <w:spacing w:before="0" w:line="240" w:lineRule="auto"/>
        <w:jc w:val="both"/>
        <w:rPr>
          <w:rFonts w:asciiTheme="minorHAnsi" w:hAnsiTheme="minorHAnsi"/>
          <w:sz w:val="24"/>
          <w:szCs w:val="24"/>
        </w:rPr>
      </w:pPr>
    </w:p>
    <w:p w:rsidR="000448A8" w:rsidRDefault="000448A8" w:rsidP="000327E1">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For subject completion rates — or load pass rates — no estimation is required; they are calculated from actual data of subject enrolments for a given year. </w:t>
      </w:r>
    </w:p>
    <w:p w:rsidR="00BE2203" w:rsidRPr="00BE2203" w:rsidRDefault="00BE2203" w:rsidP="000327E1">
      <w:pPr>
        <w:pStyle w:val="Text"/>
        <w:spacing w:before="0" w:line="240" w:lineRule="auto"/>
        <w:jc w:val="both"/>
        <w:rPr>
          <w:rFonts w:asciiTheme="minorHAnsi" w:hAnsiTheme="minorHAnsi"/>
          <w:sz w:val="24"/>
          <w:szCs w:val="24"/>
        </w:rPr>
      </w:pPr>
    </w:p>
    <w:p w:rsidR="00962ADD" w:rsidRDefault="000448A8" w:rsidP="000327E1">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For contract completion rates, NCVER uses two different methods. One method </w:t>
      </w:r>
      <w:r w:rsidR="0068471F">
        <w:rPr>
          <w:rFonts w:asciiTheme="minorHAnsi" w:hAnsiTheme="minorHAnsi"/>
          <w:sz w:val="24"/>
          <w:szCs w:val="24"/>
        </w:rPr>
        <w:t>is to track</w:t>
      </w:r>
      <w:r w:rsidRPr="00BE2203">
        <w:rPr>
          <w:rFonts w:asciiTheme="minorHAnsi" w:hAnsiTheme="minorHAnsi"/>
          <w:sz w:val="24"/>
          <w:szCs w:val="24"/>
        </w:rPr>
        <w:t xml:space="preserve"> a cohort of contracts for four years. Some adjustments are made to account for </w:t>
      </w:r>
      <w:r w:rsidRPr="00BE2203">
        <w:rPr>
          <w:rFonts w:asciiTheme="minorHAnsi" w:hAnsiTheme="minorHAnsi"/>
          <w:sz w:val="24"/>
          <w:szCs w:val="24"/>
        </w:rPr>
        <w:lastRenderedPageBreak/>
        <w:t>reporting lags. The other method, used to find the projected contract completion rates, involves tracking a cohort of contracts for one quarter and extrapolating the behaviour to predict the long-term trend.</w:t>
      </w:r>
      <w:r w:rsidR="009E048E">
        <w:rPr>
          <w:rFonts w:asciiTheme="minorHAnsi" w:hAnsiTheme="minorHAnsi"/>
          <w:sz w:val="24"/>
          <w:szCs w:val="24"/>
        </w:rPr>
        <w:t xml:space="preserve"> </w:t>
      </w:r>
    </w:p>
    <w:p w:rsidR="00962ADD" w:rsidRDefault="00962ADD" w:rsidP="000327E1">
      <w:pPr>
        <w:pStyle w:val="Text"/>
        <w:spacing w:before="0" w:line="240" w:lineRule="auto"/>
        <w:jc w:val="both"/>
        <w:rPr>
          <w:rFonts w:asciiTheme="minorHAnsi" w:hAnsiTheme="minorHAnsi"/>
          <w:sz w:val="24"/>
          <w:szCs w:val="24"/>
        </w:rPr>
      </w:pPr>
    </w:p>
    <w:p w:rsidR="000448A8" w:rsidRPr="00BE2203" w:rsidRDefault="000448A8" w:rsidP="000327E1">
      <w:pPr>
        <w:pStyle w:val="Text"/>
        <w:spacing w:before="0" w:line="240" w:lineRule="auto"/>
        <w:jc w:val="both"/>
        <w:rPr>
          <w:rFonts w:asciiTheme="minorHAnsi" w:hAnsiTheme="minorHAnsi"/>
          <w:sz w:val="24"/>
          <w:szCs w:val="24"/>
        </w:rPr>
      </w:pPr>
      <w:r w:rsidRPr="00BE2203">
        <w:rPr>
          <w:rFonts w:asciiTheme="minorHAnsi" w:hAnsiTheme="minorHAnsi"/>
          <w:sz w:val="24"/>
          <w:szCs w:val="24"/>
        </w:rPr>
        <w:t>For individual completion rates, we take the contract completion rates and adjust them according to data about how many apprentices and trainees switch employers during their apprenticeship.</w:t>
      </w:r>
      <w:r w:rsidR="003B554E">
        <w:rPr>
          <w:rFonts w:asciiTheme="minorHAnsi" w:hAnsiTheme="minorHAnsi"/>
          <w:sz w:val="24"/>
          <w:szCs w:val="24"/>
        </w:rPr>
        <w:t xml:space="preserve"> </w:t>
      </w:r>
    </w:p>
    <w:p w:rsidR="000448A8" w:rsidRPr="00BE2203" w:rsidRDefault="000448A8" w:rsidP="000448A8">
      <w:pPr>
        <w:pStyle w:val="tabletitle"/>
        <w:rPr>
          <w:rFonts w:ascii="Arial" w:hAnsi="Arial" w:cs="Arial"/>
          <w:sz w:val="20"/>
        </w:rPr>
      </w:pPr>
      <w:bookmarkStart w:id="7" w:name="_Toc311991631"/>
      <w:r w:rsidRPr="00BE2203">
        <w:rPr>
          <w:rFonts w:ascii="Arial" w:hAnsi="Arial" w:cs="Arial"/>
          <w:sz w:val="20"/>
        </w:rPr>
        <w:t>Table 2</w:t>
      </w:r>
      <w:r w:rsidRPr="00BE2203">
        <w:rPr>
          <w:rFonts w:ascii="Arial" w:hAnsi="Arial" w:cs="Arial"/>
          <w:sz w:val="20"/>
        </w:rPr>
        <w:tab/>
        <w:t>Methodologies used by NCVER to calculate completion rates</w:t>
      </w:r>
      <w:bookmarkEnd w:id="7"/>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552"/>
        <w:gridCol w:w="6237"/>
      </w:tblGrid>
      <w:tr w:rsidR="000448A8" w:rsidTr="00BE2203">
        <w:trPr>
          <w:cantSplit/>
        </w:trPr>
        <w:tc>
          <w:tcPr>
            <w:tcW w:w="2552" w:type="dxa"/>
            <w:tcBorders>
              <w:top w:val="single" w:sz="4" w:space="0" w:color="auto"/>
              <w:bottom w:val="single" w:sz="4" w:space="0" w:color="auto"/>
              <w:right w:val="nil"/>
            </w:tcBorders>
          </w:tcPr>
          <w:p w:rsidR="000448A8" w:rsidRPr="00BE2203" w:rsidRDefault="000448A8" w:rsidP="00BE2203">
            <w:pPr>
              <w:pStyle w:val="Tablehead1"/>
              <w:rPr>
                <w:sz w:val="18"/>
                <w:szCs w:val="18"/>
              </w:rPr>
            </w:pPr>
            <w:r w:rsidRPr="00BE2203">
              <w:rPr>
                <w:sz w:val="18"/>
                <w:szCs w:val="18"/>
              </w:rPr>
              <w:t>Completion rate</w:t>
            </w:r>
          </w:p>
        </w:tc>
        <w:tc>
          <w:tcPr>
            <w:tcW w:w="6237" w:type="dxa"/>
            <w:tcBorders>
              <w:top w:val="single" w:sz="4" w:space="0" w:color="auto"/>
              <w:left w:val="nil"/>
              <w:bottom w:val="single" w:sz="4" w:space="0" w:color="auto"/>
            </w:tcBorders>
          </w:tcPr>
          <w:p w:rsidR="000448A8" w:rsidRPr="00BE2203" w:rsidRDefault="000448A8" w:rsidP="00BE2203">
            <w:pPr>
              <w:pStyle w:val="Tablehead1"/>
              <w:jc w:val="center"/>
              <w:rPr>
                <w:sz w:val="18"/>
                <w:szCs w:val="18"/>
              </w:rPr>
            </w:pPr>
            <w:r w:rsidRPr="00BE2203">
              <w:rPr>
                <w:sz w:val="18"/>
                <w:szCs w:val="18"/>
              </w:rPr>
              <w:t>Methodology used by NCVER</w:t>
            </w:r>
          </w:p>
        </w:tc>
      </w:tr>
      <w:tr w:rsidR="000448A8" w:rsidTr="00BE2203">
        <w:trPr>
          <w:cantSplit/>
        </w:trPr>
        <w:tc>
          <w:tcPr>
            <w:tcW w:w="2552" w:type="dxa"/>
            <w:tcBorders>
              <w:top w:val="single" w:sz="4" w:space="0" w:color="auto"/>
              <w:bottom w:val="nil"/>
              <w:right w:val="nil"/>
            </w:tcBorders>
          </w:tcPr>
          <w:p w:rsidR="000448A8" w:rsidRPr="00BE2203" w:rsidRDefault="000448A8" w:rsidP="00BE2203">
            <w:pPr>
              <w:pStyle w:val="Tabletext"/>
              <w:spacing w:before="80"/>
              <w:rPr>
                <w:sz w:val="18"/>
                <w:szCs w:val="18"/>
              </w:rPr>
            </w:pPr>
            <w:r w:rsidRPr="00BE2203">
              <w:rPr>
                <w:b/>
                <w:sz w:val="18"/>
                <w:szCs w:val="18"/>
              </w:rPr>
              <w:t>VET qualifications</w:t>
            </w:r>
          </w:p>
        </w:tc>
        <w:tc>
          <w:tcPr>
            <w:tcW w:w="6237" w:type="dxa"/>
            <w:tcBorders>
              <w:top w:val="single" w:sz="4" w:space="0" w:color="auto"/>
              <w:left w:val="nil"/>
              <w:bottom w:val="nil"/>
            </w:tcBorders>
          </w:tcPr>
          <w:p w:rsidR="000448A8" w:rsidRPr="00BE2203" w:rsidRDefault="000448A8" w:rsidP="00BE2203">
            <w:pPr>
              <w:pStyle w:val="Tabletext"/>
              <w:tabs>
                <w:tab w:val="decimal" w:pos="553"/>
              </w:tabs>
              <w:rPr>
                <w:sz w:val="18"/>
                <w:szCs w:val="18"/>
              </w:rPr>
            </w:pPr>
          </w:p>
        </w:tc>
      </w:tr>
      <w:tr w:rsidR="000448A8" w:rsidTr="00BE2203">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Projected qualification completion rate (estimated)</w:t>
            </w:r>
          </w:p>
        </w:tc>
        <w:tc>
          <w:tcPr>
            <w:tcW w:w="6237" w:type="dxa"/>
            <w:tcBorders>
              <w:top w:val="nil"/>
              <w:left w:val="nil"/>
              <w:bottom w:val="nil"/>
            </w:tcBorders>
          </w:tcPr>
          <w:p w:rsidR="000448A8" w:rsidRPr="00BE2203" w:rsidRDefault="000448A8" w:rsidP="00BE2203">
            <w:pPr>
              <w:pStyle w:val="Tabletext"/>
              <w:rPr>
                <w:rFonts w:cs="Arial"/>
                <w:sz w:val="18"/>
                <w:szCs w:val="18"/>
              </w:rPr>
            </w:pPr>
            <w:r w:rsidRPr="00BE2203">
              <w:rPr>
                <w:rFonts w:cs="Arial"/>
                <w:sz w:val="18"/>
                <w:szCs w:val="18"/>
              </w:rPr>
              <w:t>Uses a mathematical model called a ‘Markov chain’. The basic steps are:</w:t>
            </w:r>
          </w:p>
          <w:p w:rsidR="000448A8" w:rsidRPr="00BE2203" w:rsidRDefault="000448A8" w:rsidP="000448A8">
            <w:pPr>
              <w:pStyle w:val="Tabletext"/>
              <w:numPr>
                <w:ilvl w:val="0"/>
                <w:numId w:val="2"/>
              </w:numPr>
              <w:spacing w:after="80"/>
              <w:ind w:left="227" w:hanging="227"/>
              <w:rPr>
                <w:rFonts w:cs="Arial"/>
                <w:sz w:val="18"/>
                <w:szCs w:val="18"/>
              </w:rPr>
            </w:pPr>
            <w:r w:rsidRPr="00BE2203">
              <w:rPr>
                <w:rFonts w:cs="Arial"/>
                <w:sz w:val="18"/>
                <w:szCs w:val="18"/>
              </w:rPr>
              <w:t xml:space="preserve">Track students who </w:t>
            </w:r>
            <w:r w:rsidR="003B554E">
              <w:rPr>
                <w:rFonts w:cs="Arial"/>
                <w:sz w:val="18"/>
                <w:szCs w:val="18"/>
              </w:rPr>
              <w:t>start courses</w:t>
            </w:r>
            <w:r w:rsidRPr="00BE2203">
              <w:rPr>
                <w:rFonts w:cs="Arial"/>
                <w:sz w:val="18"/>
                <w:szCs w:val="18"/>
              </w:rPr>
              <w:t xml:space="preserve"> in a given year (Group A) along with all existing students (Group B) for one year (from the starting year to the next year).</w:t>
            </w:r>
          </w:p>
          <w:p w:rsidR="000448A8" w:rsidRPr="00BE2203" w:rsidRDefault="000448A8" w:rsidP="000448A8">
            <w:pPr>
              <w:pStyle w:val="Tabletext"/>
              <w:numPr>
                <w:ilvl w:val="0"/>
                <w:numId w:val="2"/>
              </w:numPr>
              <w:spacing w:after="80"/>
              <w:ind w:left="227" w:hanging="227"/>
              <w:rPr>
                <w:rFonts w:cs="Arial"/>
                <w:sz w:val="18"/>
                <w:szCs w:val="18"/>
              </w:rPr>
            </w:pPr>
            <w:r w:rsidRPr="00BE2203">
              <w:rPr>
                <w:rFonts w:cs="Arial"/>
                <w:sz w:val="18"/>
                <w:szCs w:val="18"/>
              </w:rPr>
              <w:t>Calculate the probabilities of completing, dropping out of, and continuing a course over this one-year period for (i) Group A and (ii) Group B.</w:t>
            </w:r>
          </w:p>
          <w:p w:rsidR="000448A8" w:rsidRPr="00BE2203" w:rsidRDefault="000448A8" w:rsidP="000448A8">
            <w:pPr>
              <w:pStyle w:val="Tabletext"/>
              <w:numPr>
                <w:ilvl w:val="0"/>
                <w:numId w:val="2"/>
              </w:numPr>
              <w:spacing w:after="80"/>
              <w:ind w:left="227" w:hanging="227"/>
              <w:rPr>
                <w:rFonts w:cs="Arial"/>
                <w:sz w:val="18"/>
                <w:szCs w:val="18"/>
              </w:rPr>
            </w:pPr>
            <w:r w:rsidRPr="00BE2203">
              <w:rPr>
                <w:rFonts w:cs="Arial"/>
                <w:sz w:val="18"/>
                <w:szCs w:val="18"/>
              </w:rPr>
              <w:t>Extrapolate the probabilities in step 2 to find the long-term behaviour of the commencing courses (Group A). This is done using Markov chain theory. We assume that, from their second year of study onwards, Group A will behave like the continuing courses in Group B. See Mark and Karmel (2010) for more details.</w:t>
            </w:r>
          </w:p>
        </w:tc>
      </w:tr>
      <w:tr w:rsidR="000448A8" w:rsidTr="00BE2203">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Load pass rate</w:t>
            </w:r>
            <w:r w:rsidRPr="00BE2203">
              <w:rPr>
                <w:sz w:val="18"/>
                <w:szCs w:val="18"/>
              </w:rPr>
              <w:br/>
              <w:t>(subject completion rate)</w:t>
            </w:r>
          </w:p>
        </w:tc>
        <w:tc>
          <w:tcPr>
            <w:tcW w:w="6237" w:type="dxa"/>
            <w:tcBorders>
              <w:top w:val="nil"/>
              <w:left w:val="nil"/>
              <w:bottom w:val="nil"/>
            </w:tcBorders>
          </w:tcPr>
          <w:p w:rsidR="000448A8" w:rsidRPr="00BE2203" w:rsidRDefault="000448A8" w:rsidP="00BE2203">
            <w:pPr>
              <w:pStyle w:val="Tabletext"/>
              <w:rPr>
                <w:sz w:val="18"/>
                <w:szCs w:val="18"/>
              </w:rPr>
            </w:pPr>
            <w:r w:rsidRPr="00BE2203">
              <w:rPr>
                <w:sz w:val="18"/>
                <w:szCs w:val="18"/>
              </w:rPr>
              <w:t>Load pass rates use actual data (no estimation required), since subjects are all completed within a year. The steps are:</w:t>
            </w:r>
          </w:p>
          <w:p w:rsidR="000448A8" w:rsidRPr="00BE2203" w:rsidRDefault="000448A8" w:rsidP="000448A8">
            <w:pPr>
              <w:pStyle w:val="Tabletext"/>
              <w:numPr>
                <w:ilvl w:val="0"/>
                <w:numId w:val="3"/>
              </w:numPr>
              <w:spacing w:after="80"/>
              <w:ind w:left="227" w:hanging="227"/>
              <w:rPr>
                <w:rFonts w:cs="Arial"/>
                <w:sz w:val="18"/>
                <w:szCs w:val="18"/>
              </w:rPr>
            </w:pPr>
            <w:r w:rsidRPr="00BE2203">
              <w:rPr>
                <w:rFonts w:cs="Arial"/>
                <w:sz w:val="18"/>
                <w:szCs w:val="18"/>
              </w:rPr>
              <w:t>Calculate the hours studied by those students who passed their subjects. Call this X.</w:t>
            </w:r>
          </w:p>
          <w:p w:rsidR="000448A8" w:rsidRPr="00BE2203" w:rsidRDefault="000448A8" w:rsidP="000448A8">
            <w:pPr>
              <w:pStyle w:val="Tabletext"/>
              <w:numPr>
                <w:ilvl w:val="0"/>
                <w:numId w:val="3"/>
              </w:numPr>
              <w:spacing w:after="80"/>
              <w:ind w:left="227" w:hanging="227"/>
              <w:rPr>
                <w:rFonts w:cs="Arial"/>
                <w:sz w:val="18"/>
                <w:szCs w:val="18"/>
              </w:rPr>
            </w:pPr>
            <w:r w:rsidRPr="00BE2203">
              <w:rPr>
                <w:rFonts w:cs="Arial"/>
                <w:sz w:val="18"/>
                <w:szCs w:val="18"/>
              </w:rPr>
              <w:t>Calculate total subject hours committed to by all students who either passed, failed or withdrew. Call this Y.</w:t>
            </w:r>
          </w:p>
          <w:p w:rsidR="000448A8" w:rsidRPr="00BE2203" w:rsidRDefault="000448A8" w:rsidP="000448A8">
            <w:pPr>
              <w:pStyle w:val="Tabletext"/>
              <w:numPr>
                <w:ilvl w:val="0"/>
                <w:numId w:val="3"/>
              </w:numPr>
              <w:spacing w:after="80"/>
              <w:ind w:left="227" w:hanging="227"/>
              <w:rPr>
                <w:rFonts w:cs="Arial"/>
                <w:sz w:val="18"/>
                <w:szCs w:val="18"/>
              </w:rPr>
            </w:pPr>
            <w:r w:rsidRPr="00BE2203">
              <w:rPr>
                <w:rFonts w:cs="Arial"/>
                <w:sz w:val="18"/>
                <w:szCs w:val="18"/>
              </w:rPr>
              <w:t>Divide X by Y to obtain the load pass rate.</w:t>
            </w:r>
          </w:p>
        </w:tc>
      </w:tr>
      <w:tr w:rsidR="000448A8" w:rsidTr="00BE2203">
        <w:trPr>
          <w:cantSplit/>
        </w:trPr>
        <w:tc>
          <w:tcPr>
            <w:tcW w:w="2552" w:type="dxa"/>
            <w:tcBorders>
              <w:top w:val="nil"/>
              <w:bottom w:val="nil"/>
              <w:right w:val="nil"/>
            </w:tcBorders>
          </w:tcPr>
          <w:p w:rsidR="000448A8" w:rsidRPr="00BE2203" w:rsidRDefault="000448A8" w:rsidP="00BE2203">
            <w:pPr>
              <w:pStyle w:val="Tabletext"/>
              <w:spacing w:before="80"/>
              <w:rPr>
                <w:rFonts w:cs="Arial"/>
                <w:sz w:val="18"/>
                <w:szCs w:val="18"/>
              </w:rPr>
            </w:pPr>
            <w:r w:rsidRPr="00BE2203">
              <w:rPr>
                <w:rFonts w:cs="Arial"/>
                <w:b/>
                <w:sz w:val="18"/>
                <w:szCs w:val="18"/>
                <w:lang w:val="en-GB"/>
              </w:rPr>
              <w:t>Apprentices and trainees</w:t>
            </w:r>
          </w:p>
        </w:tc>
        <w:tc>
          <w:tcPr>
            <w:tcW w:w="6237" w:type="dxa"/>
            <w:tcBorders>
              <w:top w:val="nil"/>
              <w:left w:val="nil"/>
              <w:bottom w:val="nil"/>
            </w:tcBorders>
          </w:tcPr>
          <w:p w:rsidR="000448A8" w:rsidRPr="00BE2203" w:rsidRDefault="000448A8" w:rsidP="00BE2203">
            <w:pPr>
              <w:pStyle w:val="Tabletext"/>
              <w:tabs>
                <w:tab w:val="decimal" w:pos="553"/>
              </w:tabs>
              <w:rPr>
                <w:rFonts w:cs="Arial"/>
                <w:sz w:val="18"/>
                <w:szCs w:val="18"/>
              </w:rPr>
            </w:pPr>
          </w:p>
        </w:tc>
      </w:tr>
      <w:tr w:rsidR="000448A8" w:rsidTr="00BE2203">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Contract completion rate</w:t>
            </w:r>
          </w:p>
        </w:tc>
        <w:tc>
          <w:tcPr>
            <w:tcW w:w="6237" w:type="dxa"/>
            <w:tcBorders>
              <w:top w:val="nil"/>
              <w:left w:val="nil"/>
              <w:bottom w:val="nil"/>
            </w:tcBorders>
          </w:tcPr>
          <w:p w:rsidR="000448A8" w:rsidRPr="00BE2203" w:rsidRDefault="000448A8" w:rsidP="00BE2203">
            <w:pPr>
              <w:pStyle w:val="Tabletext"/>
              <w:rPr>
                <w:rFonts w:cs="Arial"/>
                <w:sz w:val="18"/>
                <w:szCs w:val="18"/>
              </w:rPr>
            </w:pPr>
            <w:r w:rsidRPr="00BE2203">
              <w:rPr>
                <w:rFonts w:cs="Arial"/>
                <w:sz w:val="18"/>
                <w:szCs w:val="18"/>
              </w:rPr>
              <w:t>The steps to calculate the contract completion rate are:</w:t>
            </w:r>
          </w:p>
          <w:p w:rsidR="000448A8" w:rsidRPr="00BE2203" w:rsidRDefault="000448A8" w:rsidP="000448A8">
            <w:pPr>
              <w:pStyle w:val="Tabletext"/>
              <w:numPr>
                <w:ilvl w:val="0"/>
                <w:numId w:val="4"/>
              </w:numPr>
              <w:spacing w:after="80"/>
              <w:ind w:left="227" w:hanging="227"/>
              <w:rPr>
                <w:rFonts w:cs="Arial"/>
                <w:sz w:val="18"/>
                <w:szCs w:val="18"/>
              </w:rPr>
            </w:pPr>
            <w:r w:rsidRPr="00BE2203">
              <w:rPr>
                <w:rFonts w:cs="Arial"/>
                <w:sz w:val="18"/>
                <w:szCs w:val="18"/>
              </w:rPr>
              <w:t>Track the apprentices and trainees commencing contracts in a given year for four years.</w:t>
            </w:r>
          </w:p>
          <w:p w:rsidR="000448A8" w:rsidRPr="00BE2203" w:rsidRDefault="000448A8" w:rsidP="000448A8">
            <w:pPr>
              <w:pStyle w:val="Tabletext"/>
              <w:numPr>
                <w:ilvl w:val="0"/>
                <w:numId w:val="4"/>
              </w:numPr>
              <w:spacing w:after="80"/>
              <w:ind w:left="227" w:hanging="227"/>
              <w:rPr>
                <w:rFonts w:cs="Arial"/>
                <w:sz w:val="18"/>
                <w:szCs w:val="18"/>
              </w:rPr>
            </w:pPr>
            <w:r w:rsidRPr="00BE2203">
              <w:rPr>
                <w:rFonts w:cs="Arial"/>
                <w:sz w:val="18"/>
                <w:szCs w:val="18"/>
              </w:rPr>
              <w:t>The completions data received to date are then ‘weighted up’ to account for reporting lags. We use previous quarters to estimate how much the reported number of completions to date will grow by once the full set of data is received. See Harvey (2010b) for further details.</w:t>
            </w:r>
          </w:p>
        </w:tc>
      </w:tr>
      <w:tr w:rsidR="000448A8" w:rsidTr="00BE2203">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Individual completion rate (estimated)</w:t>
            </w:r>
          </w:p>
        </w:tc>
        <w:tc>
          <w:tcPr>
            <w:tcW w:w="6237" w:type="dxa"/>
            <w:tcBorders>
              <w:top w:val="nil"/>
              <w:left w:val="nil"/>
              <w:bottom w:val="nil"/>
            </w:tcBorders>
          </w:tcPr>
          <w:p w:rsidR="00816B46" w:rsidRPr="008B4F0A" w:rsidRDefault="00CE436A" w:rsidP="00962ADD">
            <w:pPr>
              <w:pStyle w:val="Tabletext"/>
              <w:tabs>
                <w:tab w:val="decimal" w:pos="553"/>
              </w:tabs>
              <w:spacing w:after="80"/>
              <w:rPr>
                <w:rFonts w:cs="Arial"/>
                <w:sz w:val="18"/>
                <w:szCs w:val="18"/>
              </w:rPr>
            </w:pPr>
            <w:r>
              <w:rPr>
                <w:rFonts w:cs="Arial"/>
                <w:sz w:val="18"/>
                <w:szCs w:val="18"/>
              </w:rPr>
              <w:t>The individual</w:t>
            </w:r>
            <w:r w:rsidR="001063E5">
              <w:rPr>
                <w:rFonts w:cs="Arial"/>
                <w:sz w:val="18"/>
                <w:szCs w:val="18"/>
              </w:rPr>
              <w:t xml:space="preserve"> completion rate is derived from the contract completion rate, based on the number of recommencements</w:t>
            </w:r>
            <w:r>
              <w:rPr>
                <w:rFonts w:cs="Arial"/>
                <w:sz w:val="18"/>
                <w:szCs w:val="18"/>
              </w:rPr>
              <w:t>. A “recommencement” is when an individual changes employers and “recommences” their apprenticeship/traineeship with a different employer</w:t>
            </w:r>
            <w:r w:rsidR="001063E5">
              <w:rPr>
                <w:rFonts w:cs="Arial"/>
                <w:sz w:val="18"/>
                <w:szCs w:val="18"/>
              </w:rPr>
              <w:t xml:space="preserve"> (which results in a new contract).</w:t>
            </w:r>
            <w:r w:rsidR="00816B46">
              <w:rPr>
                <w:rFonts w:cs="Arial"/>
                <w:sz w:val="18"/>
                <w:szCs w:val="18"/>
              </w:rPr>
              <w:t xml:space="preserve"> For further details, see</w:t>
            </w:r>
            <w:r w:rsidR="004A3751">
              <w:rPr>
                <w:rFonts w:cs="Arial"/>
                <w:sz w:val="18"/>
                <w:szCs w:val="18"/>
              </w:rPr>
              <w:t xml:space="preserve"> </w:t>
            </w:r>
            <w:r w:rsidR="003B554E">
              <w:rPr>
                <w:rFonts w:cs="Arial"/>
                <w:sz w:val="18"/>
                <w:szCs w:val="18"/>
              </w:rPr>
              <w:t>Karmel 2011</w:t>
            </w:r>
            <w:r w:rsidR="00816B46">
              <w:rPr>
                <w:rFonts w:cs="Arial"/>
                <w:sz w:val="18"/>
                <w:szCs w:val="18"/>
              </w:rPr>
              <w:t>.</w:t>
            </w:r>
          </w:p>
        </w:tc>
      </w:tr>
      <w:tr w:rsidR="000448A8" w:rsidTr="00BE2203">
        <w:trPr>
          <w:cantSplit/>
        </w:trPr>
        <w:tc>
          <w:tcPr>
            <w:tcW w:w="2552" w:type="dxa"/>
            <w:tcBorders>
              <w:top w:val="nil"/>
              <w:bottom w:val="single" w:sz="4" w:space="0" w:color="auto"/>
              <w:right w:val="nil"/>
            </w:tcBorders>
          </w:tcPr>
          <w:p w:rsidR="000448A8" w:rsidRPr="00BE2203" w:rsidRDefault="000448A8" w:rsidP="00BE2203">
            <w:pPr>
              <w:pStyle w:val="Tabletext"/>
              <w:rPr>
                <w:sz w:val="18"/>
                <w:szCs w:val="18"/>
              </w:rPr>
            </w:pPr>
            <w:r w:rsidRPr="00BE2203">
              <w:rPr>
                <w:sz w:val="18"/>
                <w:szCs w:val="18"/>
              </w:rPr>
              <w:t>Projected contract completion rate (estimated)</w:t>
            </w:r>
          </w:p>
        </w:tc>
        <w:tc>
          <w:tcPr>
            <w:tcW w:w="6237" w:type="dxa"/>
            <w:tcBorders>
              <w:top w:val="nil"/>
              <w:left w:val="nil"/>
              <w:bottom w:val="single" w:sz="4" w:space="0" w:color="auto"/>
            </w:tcBorders>
          </w:tcPr>
          <w:p w:rsidR="000448A8" w:rsidRPr="00BE2203" w:rsidRDefault="000448A8" w:rsidP="00BE2203">
            <w:pPr>
              <w:pStyle w:val="Tabletext"/>
              <w:spacing w:before="80" w:after="80"/>
              <w:rPr>
                <w:rFonts w:cs="Arial"/>
                <w:sz w:val="18"/>
                <w:szCs w:val="18"/>
              </w:rPr>
            </w:pPr>
            <w:r w:rsidRPr="00BE2203">
              <w:rPr>
                <w:rFonts w:cs="Arial"/>
                <w:sz w:val="18"/>
                <w:szCs w:val="18"/>
              </w:rPr>
              <w:t>A ‘life tables’ methodology is used. The basic steps are:</w:t>
            </w:r>
          </w:p>
          <w:p w:rsidR="000448A8" w:rsidRPr="00BE2203" w:rsidRDefault="000448A8" w:rsidP="000448A8">
            <w:pPr>
              <w:pStyle w:val="Tabletext"/>
              <w:numPr>
                <w:ilvl w:val="0"/>
                <w:numId w:val="5"/>
              </w:numPr>
              <w:spacing w:after="80"/>
              <w:ind w:left="227" w:hanging="227"/>
              <w:rPr>
                <w:rFonts w:cs="Arial"/>
                <w:sz w:val="18"/>
                <w:szCs w:val="18"/>
              </w:rPr>
            </w:pPr>
            <w:r w:rsidRPr="00BE2203">
              <w:rPr>
                <w:rFonts w:cs="Arial"/>
                <w:sz w:val="18"/>
                <w:szCs w:val="18"/>
              </w:rPr>
              <w:t>Label the contracts held by apprentices and trainees commencing in a given quarter as Group A. Label the existing contracts according to how old they are, calling them Group B, Group C etc.</w:t>
            </w:r>
          </w:p>
          <w:p w:rsidR="000448A8" w:rsidRPr="00BE2203" w:rsidRDefault="000448A8" w:rsidP="000448A8">
            <w:pPr>
              <w:pStyle w:val="Tabletext"/>
              <w:numPr>
                <w:ilvl w:val="0"/>
                <w:numId w:val="5"/>
              </w:numPr>
              <w:spacing w:after="80"/>
              <w:ind w:left="227" w:hanging="227"/>
              <w:rPr>
                <w:rFonts w:cs="Arial"/>
                <w:sz w:val="18"/>
                <w:szCs w:val="18"/>
              </w:rPr>
            </w:pPr>
            <w:r w:rsidRPr="00BE2203">
              <w:rPr>
                <w:rFonts w:cs="Arial"/>
                <w:sz w:val="18"/>
                <w:szCs w:val="18"/>
              </w:rPr>
              <w:t xml:space="preserve">Determine the probabilities of completing, dropping out and continuing over this </w:t>
            </w:r>
            <w:r w:rsidR="003B554E">
              <w:rPr>
                <w:rFonts w:cs="Arial"/>
                <w:sz w:val="18"/>
                <w:szCs w:val="18"/>
              </w:rPr>
              <w:t>quarter</w:t>
            </w:r>
            <w:r w:rsidRPr="00BE2203">
              <w:rPr>
                <w:rFonts w:cs="Arial"/>
                <w:sz w:val="18"/>
                <w:szCs w:val="18"/>
              </w:rPr>
              <w:t xml:space="preserve"> for contracts in Group A, </w:t>
            </w:r>
            <w:r w:rsidR="003B554E">
              <w:rPr>
                <w:rFonts w:cs="Arial"/>
                <w:sz w:val="18"/>
                <w:szCs w:val="18"/>
              </w:rPr>
              <w:t>as well as</w:t>
            </w:r>
            <w:r w:rsidRPr="00BE2203">
              <w:rPr>
                <w:rFonts w:cs="Arial"/>
                <w:sz w:val="18"/>
                <w:szCs w:val="18"/>
              </w:rPr>
              <w:t xml:space="preserve"> all other groups. </w:t>
            </w:r>
          </w:p>
          <w:p w:rsidR="000448A8" w:rsidRPr="00BE2203" w:rsidRDefault="000448A8" w:rsidP="00816B46">
            <w:pPr>
              <w:pStyle w:val="ListParagraph"/>
              <w:numPr>
                <w:ilvl w:val="0"/>
                <w:numId w:val="5"/>
              </w:numPr>
              <w:spacing w:before="40" w:after="80" w:line="240" w:lineRule="auto"/>
              <w:ind w:left="227" w:hanging="227"/>
              <w:contextualSpacing w:val="0"/>
              <w:rPr>
                <w:rFonts w:ascii="Arial" w:hAnsi="Arial" w:cs="Arial"/>
                <w:sz w:val="18"/>
                <w:szCs w:val="18"/>
              </w:rPr>
            </w:pPr>
            <w:r w:rsidRPr="00BE2203">
              <w:rPr>
                <w:rFonts w:ascii="Arial" w:hAnsi="Arial" w:cs="Arial"/>
                <w:sz w:val="18"/>
                <w:szCs w:val="18"/>
              </w:rPr>
              <w:t>‘</w:t>
            </w:r>
            <w:r w:rsidRPr="00BE2203">
              <w:rPr>
                <w:rFonts w:ascii="Arial" w:hAnsi="Arial" w:cs="Arial"/>
                <w:color w:val="000000"/>
                <w:sz w:val="18"/>
                <w:szCs w:val="18"/>
              </w:rPr>
              <w:t xml:space="preserve">Stretch out’ the cross-sectional probabilities from step </w:t>
            </w:r>
            <w:r w:rsidR="00816B46">
              <w:rPr>
                <w:rFonts w:ascii="Arial" w:hAnsi="Arial" w:cs="Arial"/>
                <w:color w:val="000000"/>
                <w:sz w:val="18"/>
                <w:szCs w:val="18"/>
              </w:rPr>
              <w:t>2</w:t>
            </w:r>
            <w:r w:rsidRPr="00BE2203">
              <w:rPr>
                <w:rFonts w:ascii="Arial" w:hAnsi="Arial" w:cs="Arial"/>
                <w:color w:val="000000"/>
                <w:sz w:val="18"/>
                <w:szCs w:val="18"/>
              </w:rPr>
              <w:t xml:space="preserve"> to mimic data with a time dimension. That is, we assume that, in one quarter’s time, Group A will behave like Group B, and in two quarters’ time, Group A will behave like Group C etc. See Karmel and Mlotkowski (2010a)</w:t>
            </w:r>
            <w:r w:rsidR="004A3751">
              <w:rPr>
                <w:rFonts w:ascii="Arial" w:hAnsi="Arial" w:cs="Arial"/>
                <w:color w:val="000000"/>
                <w:sz w:val="18"/>
                <w:szCs w:val="18"/>
              </w:rPr>
              <w:t xml:space="preserve"> for further details</w:t>
            </w:r>
            <w:r w:rsidR="003B554E">
              <w:rPr>
                <w:rFonts w:ascii="Arial" w:hAnsi="Arial" w:cs="Arial"/>
                <w:color w:val="000000"/>
                <w:sz w:val="18"/>
                <w:szCs w:val="18"/>
              </w:rPr>
              <w:t>.</w:t>
            </w:r>
          </w:p>
        </w:tc>
      </w:tr>
    </w:tbl>
    <w:p w:rsidR="00BE2203" w:rsidRDefault="00BE2203" w:rsidP="000448A8">
      <w:pPr>
        <w:spacing w:after="0" w:line="240" w:lineRule="auto"/>
        <w:rPr>
          <w:b/>
          <w:sz w:val="24"/>
          <w:szCs w:val="24"/>
        </w:rPr>
      </w:pPr>
      <w:bookmarkStart w:id="8" w:name="_Toc309043801"/>
    </w:p>
    <w:p w:rsidR="000448A8" w:rsidRDefault="000448A8" w:rsidP="000448A8">
      <w:pPr>
        <w:spacing w:after="0" w:line="240" w:lineRule="auto"/>
        <w:rPr>
          <w:b/>
          <w:sz w:val="24"/>
          <w:szCs w:val="24"/>
        </w:rPr>
      </w:pPr>
      <w:r w:rsidRPr="000448A8">
        <w:rPr>
          <w:b/>
          <w:sz w:val="24"/>
          <w:szCs w:val="24"/>
        </w:rPr>
        <w:t>Latest completion rate estimates</w:t>
      </w:r>
      <w:bookmarkEnd w:id="8"/>
    </w:p>
    <w:p w:rsidR="00BE2203" w:rsidRPr="000448A8" w:rsidRDefault="00BE2203" w:rsidP="000448A8">
      <w:pPr>
        <w:spacing w:after="0" w:line="240" w:lineRule="auto"/>
        <w:rPr>
          <w:b/>
          <w:sz w:val="24"/>
          <w:szCs w:val="24"/>
        </w:rPr>
      </w:pPr>
    </w:p>
    <w:p w:rsidR="003B554E"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Here we present the latest completion rate estimates</w:t>
      </w:r>
      <w:r w:rsidR="000327E1">
        <w:rPr>
          <w:rFonts w:asciiTheme="minorHAnsi" w:hAnsiTheme="minorHAnsi"/>
          <w:sz w:val="24"/>
          <w:szCs w:val="24"/>
        </w:rPr>
        <w:t xml:space="preserve"> for VET qualifications and for apprentices and trainees</w:t>
      </w:r>
      <w:r w:rsidRPr="00BE2203">
        <w:rPr>
          <w:rFonts w:asciiTheme="minorHAnsi" w:hAnsiTheme="minorHAnsi"/>
          <w:sz w:val="24"/>
          <w:szCs w:val="24"/>
        </w:rPr>
        <w:t xml:space="preserve">. </w:t>
      </w:r>
      <w:r w:rsidR="000327E1">
        <w:rPr>
          <w:rFonts w:asciiTheme="minorHAnsi" w:hAnsiTheme="minorHAnsi"/>
          <w:sz w:val="24"/>
          <w:szCs w:val="24"/>
        </w:rPr>
        <w:t>Note that the</w:t>
      </w:r>
      <w:r w:rsidRPr="00BE2203">
        <w:rPr>
          <w:rFonts w:asciiTheme="minorHAnsi" w:hAnsiTheme="minorHAnsi"/>
          <w:sz w:val="24"/>
          <w:szCs w:val="24"/>
        </w:rPr>
        <w:t xml:space="preserve"> commencing time period</w:t>
      </w:r>
      <w:r w:rsidR="000327E1">
        <w:rPr>
          <w:rFonts w:asciiTheme="minorHAnsi" w:hAnsiTheme="minorHAnsi"/>
          <w:sz w:val="24"/>
          <w:szCs w:val="24"/>
        </w:rPr>
        <w:t xml:space="preserve"> is not always the same for every rate</w:t>
      </w:r>
      <w:r w:rsidRPr="00BE2203">
        <w:rPr>
          <w:rFonts w:asciiTheme="minorHAnsi" w:hAnsiTheme="minorHAnsi"/>
          <w:sz w:val="24"/>
          <w:szCs w:val="24"/>
        </w:rPr>
        <w:t>; this is a direct result of the method used to calculate it. Some methods can provide rates for more recent cohorts than others, due to the lengths of the tracking windows discussed earlier.</w:t>
      </w:r>
      <w:r w:rsidR="003B554E">
        <w:rPr>
          <w:rFonts w:asciiTheme="minorHAnsi" w:hAnsiTheme="minorHAnsi"/>
          <w:sz w:val="24"/>
          <w:szCs w:val="24"/>
        </w:rPr>
        <w:t xml:space="preserve"> </w:t>
      </w:r>
    </w:p>
    <w:p w:rsidR="003B554E" w:rsidRDefault="003B554E" w:rsidP="00B37119">
      <w:pPr>
        <w:pStyle w:val="Text"/>
        <w:spacing w:before="0" w:line="240" w:lineRule="auto"/>
        <w:jc w:val="both"/>
        <w:rPr>
          <w:rFonts w:asciiTheme="minorHAnsi" w:hAnsiTheme="minorHAnsi"/>
          <w:sz w:val="24"/>
          <w:szCs w:val="24"/>
        </w:rPr>
      </w:pPr>
    </w:p>
    <w:p w:rsidR="003B554E" w:rsidRDefault="000448A8" w:rsidP="003B554E">
      <w:pPr>
        <w:pStyle w:val="Text"/>
        <w:spacing w:before="0" w:line="240" w:lineRule="auto"/>
        <w:jc w:val="both"/>
        <w:rPr>
          <w:rFonts w:asciiTheme="minorHAnsi" w:hAnsiTheme="minorHAnsi"/>
          <w:sz w:val="24"/>
          <w:szCs w:val="24"/>
        </w:rPr>
      </w:pPr>
      <w:r w:rsidRPr="00BE2203">
        <w:rPr>
          <w:rFonts w:asciiTheme="minorHAnsi" w:hAnsiTheme="minorHAnsi"/>
          <w:sz w:val="24"/>
          <w:szCs w:val="24"/>
        </w:rPr>
        <w:t>The most recent estimates for VET qualifications are presented in table 3. It must be stressed that the national data upon which these rates are based only covers publicly funded enrolments.</w:t>
      </w:r>
      <w:r w:rsidR="003B554E" w:rsidRPr="003B554E">
        <w:rPr>
          <w:rFonts w:asciiTheme="minorHAnsi" w:hAnsiTheme="minorHAnsi"/>
          <w:sz w:val="24"/>
          <w:szCs w:val="24"/>
        </w:rPr>
        <w:t xml:space="preserve"> </w:t>
      </w:r>
      <w:r w:rsidR="003B554E" w:rsidRPr="00BE2203">
        <w:rPr>
          <w:rFonts w:asciiTheme="minorHAnsi" w:hAnsiTheme="minorHAnsi"/>
          <w:sz w:val="24"/>
          <w:szCs w:val="24"/>
        </w:rPr>
        <w:t>As seen in table 3, the projected qualification completion rate for all students starting in 2008 over the whole of Australia is 28%. If we only consider full-time VET students aged 25 years and under, the figure rises to 37%.</w:t>
      </w:r>
    </w:p>
    <w:p w:rsidR="000448A8" w:rsidRPr="00BE2203" w:rsidRDefault="000448A8" w:rsidP="000448A8">
      <w:pPr>
        <w:pStyle w:val="tabletitle"/>
        <w:rPr>
          <w:rFonts w:ascii="Arial" w:hAnsi="Arial" w:cs="Arial"/>
          <w:sz w:val="20"/>
        </w:rPr>
      </w:pPr>
      <w:bookmarkStart w:id="9" w:name="_Toc311991632"/>
      <w:r w:rsidRPr="00BE2203">
        <w:rPr>
          <w:rFonts w:ascii="Arial" w:hAnsi="Arial" w:cs="Arial"/>
          <w:sz w:val="20"/>
        </w:rPr>
        <w:t>Table 3</w:t>
      </w:r>
      <w:r w:rsidRPr="00BE2203">
        <w:rPr>
          <w:rFonts w:ascii="Arial" w:hAnsi="Arial" w:cs="Arial"/>
          <w:sz w:val="20"/>
        </w:rPr>
        <w:tab/>
        <w:t>Latest completion rate estimates for VET qualifications</w:t>
      </w:r>
      <w:bookmarkEnd w:id="9"/>
    </w:p>
    <w:tbl>
      <w:tblPr>
        <w:tblW w:w="8287" w:type="dxa"/>
        <w:tblInd w:w="108" w:type="dxa"/>
        <w:tblBorders>
          <w:top w:val="single" w:sz="4" w:space="0" w:color="auto"/>
          <w:bottom w:val="single" w:sz="4" w:space="0" w:color="auto"/>
        </w:tblBorders>
        <w:tblLayout w:type="fixed"/>
        <w:tblLook w:val="0000" w:firstRow="0" w:lastRow="0" w:firstColumn="0" w:lastColumn="0" w:noHBand="0" w:noVBand="0"/>
      </w:tblPr>
      <w:tblGrid>
        <w:gridCol w:w="2552"/>
        <w:gridCol w:w="1843"/>
        <w:gridCol w:w="2268"/>
        <w:gridCol w:w="1624"/>
      </w:tblGrid>
      <w:tr w:rsidR="000448A8" w:rsidTr="00E449B6">
        <w:trPr>
          <w:cantSplit/>
        </w:trPr>
        <w:tc>
          <w:tcPr>
            <w:tcW w:w="2552" w:type="dxa"/>
            <w:tcBorders>
              <w:top w:val="single" w:sz="4" w:space="0" w:color="auto"/>
              <w:bottom w:val="single" w:sz="4" w:space="0" w:color="auto"/>
              <w:right w:val="nil"/>
            </w:tcBorders>
          </w:tcPr>
          <w:p w:rsidR="000448A8" w:rsidRPr="00BE2203" w:rsidRDefault="000448A8" w:rsidP="00BE2203">
            <w:pPr>
              <w:pStyle w:val="Tablehead1"/>
              <w:rPr>
                <w:sz w:val="18"/>
                <w:szCs w:val="18"/>
              </w:rPr>
            </w:pPr>
            <w:r w:rsidRPr="00BE2203">
              <w:rPr>
                <w:sz w:val="18"/>
                <w:szCs w:val="18"/>
              </w:rPr>
              <w:t>Cohort</w:t>
            </w:r>
          </w:p>
        </w:tc>
        <w:tc>
          <w:tcPr>
            <w:tcW w:w="1843" w:type="dxa"/>
            <w:tcBorders>
              <w:top w:val="single" w:sz="4" w:space="0" w:color="auto"/>
              <w:left w:val="nil"/>
              <w:bottom w:val="single" w:sz="4" w:space="0" w:color="auto"/>
            </w:tcBorders>
          </w:tcPr>
          <w:p w:rsidR="000448A8" w:rsidRPr="00BE2203" w:rsidRDefault="000448A8" w:rsidP="00BE2203">
            <w:pPr>
              <w:pStyle w:val="Tablehead1"/>
              <w:jc w:val="center"/>
              <w:rPr>
                <w:sz w:val="18"/>
                <w:szCs w:val="18"/>
              </w:rPr>
            </w:pPr>
            <w:r w:rsidRPr="00BE2203">
              <w:rPr>
                <w:sz w:val="18"/>
                <w:szCs w:val="18"/>
              </w:rPr>
              <w:t>Commencing in</w:t>
            </w:r>
          </w:p>
        </w:tc>
        <w:tc>
          <w:tcPr>
            <w:tcW w:w="2268" w:type="dxa"/>
            <w:tcBorders>
              <w:top w:val="single" w:sz="4" w:space="0" w:color="auto"/>
              <w:left w:val="nil"/>
              <w:bottom w:val="single" w:sz="4" w:space="0" w:color="auto"/>
            </w:tcBorders>
            <w:tcMar>
              <w:left w:w="0" w:type="dxa"/>
              <w:right w:w="0" w:type="dxa"/>
            </w:tcMar>
          </w:tcPr>
          <w:p w:rsidR="000448A8" w:rsidRPr="00BE2203" w:rsidRDefault="000448A8" w:rsidP="00BE2203">
            <w:pPr>
              <w:pStyle w:val="Tablehead1"/>
              <w:jc w:val="center"/>
              <w:rPr>
                <w:sz w:val="18"/>
                <w:szCs w:val="18"/>
              </w:rPr>
            </w:pPr>
            <w:r w:rsidRPr="00BE2203">
              <w:rPr>
                <w:sz w:val="18"/>
                <w:szCs w:val="18"/>
              </w:rPr>
              <w:t>Projected qualification completion rate (%)</w:t>
            </w:r>
          </w:p>
        </w:tc>
        <w:tc>
          <w:tcPr>
            <w:tcW w:w="1624" w:type="dxa"/>
            <w:tcBorders>
              <w:top w:val="single" w:sz="4" w:space="0" w:color="auto"/>
              <w:left w:val="nil"/>
              <w:bottom w:val="single" w:sz="4" w:space="0" w:color="auto"/>
            </w:tcBorders>
            <w:tcMar>
              <w:left w:w="0" w:type="dxa"/>
              <w:right w:w="0" w:type="dxa"/>
            </w:tcMar>
          </w:tcPr>
          <w:p w:rsidR="000448A8" w:rsidRPr="00BE2203" w:rsidRDefault="000448A8" w:rsidP="00BE2203">
            <w:pPr>
              <w:pStyle w:val="Tablehead1"/>
              <w:jc w:val="center"/>
              <w:rPr>
                <w:sz w:val="18"/>
                <w:szCs w:val="18"/>
              </w:rPr>
            </w:pPr>
            <w:r w:rsidRPr="00BE2203">
              <w:rPr>
                <w:sz w:val="18"/>
                <w:szCs w:val="18"/>
              </w:rPr>
              <w:t xml:space="preserve">Subject load </w:t>
            </w:r>
            <w:r w:rsidRPr="00BE2203">
              <w:rPr>
                <w:sz w:val="18"/>
                <w:szCs w:val="18"/>
              </w:rPr>
              <w:br/>
              <w:t>pass rate (%)</w:t>
            </w:r>
          </w:p>
        </w:tc>
      </w:tr>
      <w:tr w:rsidR="000448A8" w:rsidTr="00E449B6">
        <w:trPr>
          <w:cantSplit/>
        </w:trPr>
        <w:tc>
          <w:tcPr>
            <w:tcW w:w="2552" w:type="dxa"/>
            <w:tcBorders>
              <w:top w:val="single" w:sz="4" w:space="0" w:color="auto"/>
              <w:bottom w:val="nil"/>
              <w:right w:val="nil"/>
            </w:tcBorders>
          </w:tcPr>
          <w:p w:rsidR="000448A8" w:rsidRPr="00BE2203" w:rsidRDefault="000448A8" w:rsidP="00BE2203">
            <w:pPr>
              <w:pStyle w:val="Tabletext"/>
              <w:rPr>
                <w:sz w:val="18"/>
                <w:szCs w:val="18"/>
              </w:rPr>
            </w:pPr>
            <w:r w:rsidRPr="00BE2203">
              <w:rPr>
                <w:sz w:val="18"/>
                <w:szCs w:val="18"/>
              </w:rPr>
              <w:t>Students enrolled in AQF qualifications</w:t>
            </w:r>
          </w:p>
        </w:tc>
        <w:tc>
          <w:tcPr>
            <w:tcW w:w="1843" w:type="dxa"/>
            <w:tcBorders>
              <w:top w:val="single" w:sz="4" w:space="0" w:color="auto"/>
              <w:left w:val="nil"/>
              <w:bottom w:val="nil"/>
            </w:tcBorders>
          </w:tcPr>
          <w:p w:rsidR="000448A8" w:rsidRPr="00BE2203" w:rsidRDefault="000448A8" w:rsidP="00BE2203">
            <w:pPr>
              <w:pStyle w:val="Tabletext"/>
              <w:jc w:val="center"/>
              <w:rPr>
                <w:sz w:val="18"/>
                <w:szCs w:val="18"/>
              </w:rPr>
            </w:pPr>
            <w:r w:rsidRPr="00BE2203">
              <w:rPr>
                <w:sz w:val="18"/>
                <w:szCs w:val="18"/>
              </w:rPr>
              <w:t>2008</w:t>
            </w:r>
          </w:p>
        </w:tc>
        <w:tc>
          <w:tcPr>
            <w:tcW w:w="2268" w:type="dxa"/>
            <w:tcBorders>
              <w:top w:val="single" w:sz="4" w:space="0" w:color="auto"/>
              <w:left w:val="nil"/>
            </w:tcBorders>
          </w:tcPr>
          <w:p w:rsidR="000448A8" w:rsidRPr="00BE2203" w:rsidRDefault="000448A8" w:rsidP="00BE2203">
            <w:pPr>
              <w:pStyle w:val="Tabletext"/>
              <w:jc w:val="center"/>
              <w:rPr>
                <w:sz w:val="18"/>
                <w:szCs w:val="18"/>
              </w:rPr>
            </w:pPr>
            <w:r w:rsidRPr="00BE2203">
              <w:rPr>
                <w:sz w:val="18"/>
                <w:szCs w:val="18"/>
              </w:rPr>
              <w:t>28</w:t>
            </w:r>
          </w:p>
        </w:tc>
        <w:tc>
          <w:tcPr>
            <w:tcW w:w="1624" w:type="dxa"/>
            <w:tcBorders>
              <w:top w:val="single" w:sz="4" w:space="0" w:color="auto"/>
              <w:left w:val="nil"/>
            </w:tcBorders>
          </w:tcPr>
          <w:p w:rsidR="000448A8" w:rsidRPr="00BE2203" w:rsidRDefault="000448A8" w:rsidP="00BE2203">
            <w:pPr>
              <w:pStyle w:val="Tabletext"/>
              <w:jc w:val="center"/>
              <w:rPr>
                <w:sz w:val="18"/>
                <w:szCs w:val="18"/>
              </w:rPr>
            </w:pPr>
            <w:r w:rsidRPr="00BE2203">
              <w:rPr>
                <w:sz w:val="18"/>
                <w:szCs w:val="18"/>
              </w:rPr>
              <w:t>80</w:t>
            </w:r>
          </w:p>
        </w:tc>
      </w:tr>
      <w:tr w:rsidR="000448A8" w:rsidTr="00E449B6">
        <w:trPr>
          <w:cantSplit/>
        </w:trPr>
        <w:tc>
          <w:tcPr>
            <w:tcW w:w="2552" w:type="dxa"/>
            <w:tcBorders>
              <w:top w:val="nil"/>
              <w:bottom w:val="single" w:sz="4" w:space="0" w:color="auto"/>
              <w:right w:val="nil"/>
            </w:tcBorders>
          </w:tcPr>
          <w:p w:rsidR="000448A8" w:rsidRPr="00BE2203" w:rsidRDefault="000448A8" w:rsidP="00E449B6">
            <w:pPr>
              <w:pStyle w:val="Tabletext"/>
              <w:rPr>
                <w:sz w:val="18"/>
                <w:szCs w:val="18"/>
              </w:rPr>
            </w:pPr>
            <w:r w:rsidRPr="00BE2203">
              <w:rPr>
                <w:sz w:val="18"/>
                <w:szCs w:val="18"/>
              </w:rPr>
              <w:t xml:space="preserve">Full-time students aged 25 </w:t>
            </w:r>
            <w:r w:rsidR="00E449B6">
              <w:rPr>
                <w:sz w:val="18"/>
                <w:szCs w:val="18"/>
              </w:rPr>
              <w:br/>
            </w:r>
            <w:r w:rsidRPr="00BE2203">
              <w:rPr>
                <w:sz w:val="18"/>
                <w:szCs w:val="18"/>
              </w:rPr>
              <w:t>y</w:t>
            </w:r>
            <w:r w:rsidR="00E449B6">
              <w:rPr>
                <w:sz w:val="18"/>
                <w:szCs w:val="18"/>
              </w:rPr>
              <w:t>ears</w:t>
            </w:r>
            <w:r w:rsidRPr="00BE2203">
              <w:rPr>
                <w:sz w:val="18"/>
                <w:szCs w:val="18"/>
              </w:rPr>
              <w:t xml:space="preserve"> and under enrolled in AQF qualifications</w:t>
            </w:r>
          </w:p>
        </w:tc>
        <w:tc>
          <w:tcPr>
            <w:tcW w:w="1843" w:type="dxa"/>
            <w:tcBorders>
              <w:top w:val="nil"/>
              <w:left w:val="nil"/>
              <w:bottom w:val="single" w:sz="4" w:space="0" w:color="auto"/>
            </w:tcBorders>
          </w:tcPr>
          <w:p w:rsidR="000448A8" w:rsidRPr="00BE2203" w:rsidRDefault="000448A8" w:rsidP="00BE2203">
            <w:pPr>
              <w:pStyle w:val="Tabletext"/>
              <w:jc w:val="center"/>
              <w:rPr>
                <w:sz w:val="18"/>
                <w:szCs w:val="18"/>
              </w:rPr>
            </w:pPr>
            <w:r w:rsidRPr="00BE2203">
              <w:rPr>
                <w:sz w:val="18"/>
                <w:szCs w:val="18"/>
              </w:rPr>
              <w:t>2008</w:t>
            </w:r>
          </w:p>
        </w:tc>
        <w:tc>
          <w:tcPr>
            <w:tcW w:w="2268" w:type="dxa"/>
            <w:tcBorders>
              <w:left w:val="nil"/>
            </w:tcBorders>
          </w:tcPr>
          <w:p w:rsidR="000448A8" w:rsidRPr="00BE2203" w:rsidRDefault="000448A8" w:rsidP="00BE2203">
            <w:pPr>
              <w:pStyle w:val="Tabletext"/>
              <w:jc w:val="center"/>
              <w:rPr>
                <w:sz w:val="18"/>
                <w:szCs w:val="18"/>
              </w:rPr>
            </w:pPr>
            <w:r w:rsidRPr="00BE2203">
              <w:rPr>
                <w:sz w:val="18"/>
                <w:szCs w:val="18"/>
              </w:rPr>
              <w:t>37</w:t>
            </w:r>
          </w:p>
        </w:tc>
        <w:tc>
          <w:tcPr>
            <w:tcW w:w="1624" w:type="dxa"/>
            <w:tcBorders>
              <w:left w:val="nil"/>
            </w:tcBorders>
          </w:tcPr>
          <w:p w:rsidR="000448A8" w:rsidRPr="00BE2203" w:rsidRDefault="000448A8" w:rsidP="00BE2203">
            <w:pPr>
              <w:pStyle w:val="Tabletext"/>
              <w:jc w:val="center"/>
              <w:rPr>
                <w:sz w:val="18"/>
                <w:szCs w:val="18"/>
              </w:rPr>
            </w:pPr>
            <w:r w:rsidRPr="00BE2203">
              <w:rPr>
                <w:sz w:val="18"/>
                <w:szCs w:val="18"/>
              </w:rPr>
              <w:t>78</w:t>
            </w:r>
          </w:p>
        </w:tc>
      </w:tr>
    </w:tbl>
    <w:p w:rsidR="00E449B6" w:rsidRDefault="000448A8" w:rsidP="00E449B6">
      <w:pPr>
        <w:pStyle w:val="Source"/>
        <w:tabs>
          <w:tab w:val="left" w:pos="5954"/>
        </w:tabs>
      </w:pPr>
      <w:r>
        <w:t>Note: AQF = Australian Qualifications Framework</w:t>
      </w:r>
      <w:r w:rsidR="00E449B6">
        <w:tab/>
        <w:t>Source:</w:t>
      </w:r>
      <w:r w:rsidR="00E449B6">
        <w:tab/>
        <w:t>NCVER (2011b).</w:t>
      </w:r>
    </w:p>
    <w:p w:rsidR="00BE2203" w:rsidRDefault="00BE2203" w:rsidP="000448A8">
      <w:pPr>
        <w:pStyle w:val="Source"/>
      </w:pPr>
    </w:p>
    <w:p w:rsidR="000448A8" w:rsidRPr="00BE2203" w:rsidRDefault="003B554E" w:rsidP="00B37119">
      <w:pPr>
        <w:pStyle w:val="Text"/>
        <w:spacing w:before="0" w:line="240" w:lineRule="auto"/>
        <w:jc w:val="both"/>
        <w:rPr>
          <w:rFonts w:asciiTheme="minorHAnsi" w:hAnsiTheme="minorHAnsi"/>
          <w:sz w:val="24"/>
          <w:szCs w:val="24"/>
        </w:rPr>
      </w:pPr>
      <w:r>
        <w:rPr>
          <w:rFonts w:asciiTheme="minorHAnsi" w:hAnsiTheme="minorHAnsi"/>
          <w:sz w:val="24"/>
          <w:szCs w:val="24"/>
        </w:rPr>
        <w:t>T</w:t>
      </w:r>
      <w:r w:rsidR="000448A8" w:rsidRPr="00BE2203">
        <w:rPr>
          <w:rFonts w:asciiTheme="minorHAnsi" w:hAnsiTheme="minorHAnsi"/>
          <w:sz w:val="24"/>
          <w:szCs w:val="24"/>
        </w:rPr>
        <w:t>he</w:t>
      </w:r>
      <w:r>
        <w:rPr>
          <w:rFonts w:asciiTheme="minorHAnsi" w:hAnsiTheme="minorHAnsi"/>
          <w:sz w:val="24"/>
          <w:szCs w:val="24"/>
        </w:rPr>
        <w:t xml:space="preserve"> rates in table 3</w:t>
      </w:r>
      <w:r w:rsidR="000448A8" w:rsidRPr="00BE2203">
        <w:rPr>
          <w:rFonts w:asciiTheme="minorHAnsi" w:hAnsiTheme="minorHAnsi"/>
          <w:sz w:val="24"/>
          <w:szCs w:val="24"/>
        </w:rPr>
        <w:t xml:space="preserve"> are ‘average’ qualification completion rates across all fields of education and qualification levels. There is considerable variation once we break them down </w:t>
      </w:r>
      <w:r w:rsidR="000327E1">
        <w:rPr>
          <w:rFonts w:asciiTheme="minorHAnsi" w:hAnsiTheme="minorHAnsi"/>
          <w:sz w:val="24"/>
          <w:szCs w:val="24"/>
        </w:rPr>
        <w:t>further</w:t>
      </w:r>
      <w:r w:rsidR="000448A8" w:rsidRPr="00BE2203">
        <w:rPr>
          <w:rFonts w:asciiTheme="minorHAnsi" w:hAnsiTheme="minorHAnsi"/>
          <w:sz w:val="24"/>
          <w:szCs w:val="24"/>
        </w:rPr>
        <w:t xml:space="preserve">. For example, </w:t>
      </w:r>
      <w:r w:rsidR="000327E1">
        <w:rPr>
          <w:rFonts w:asciiTheme="minorHAnsi" w:hAnsiTheme="minorHAnsi"/>
          <w:sz w:val="24"/>
          <w:szCs w:val="24"/>
        </w:rPr>
        <w:t>table 4 gives</w:t>
      </w:r>
      <w:r w:rsidR="000448A8" w:rsidRPr="00BE2203">
        <w:rPr>
          <w:rFonts w:asciiTheme="minorHAnsi" w:hAnsiTheme="minorHAnsi"/>
          <w:sz w:val="24"/>
          <w:szCs w:val="24"/>
        </w:rPr>
        <w:t xml:space="preserve"> the </w:t>
      </w:r>
      <w:r w:rsidR="000327E1">
        <w:rPr>
          <w:rFonts w:asciiTheme="minorHAnsi" w:hAnsiTheme="minorHAnsi"/>
          <w:sz w:val="24"/>
          <w:szCs w:val="24"/>
        </w:rPr>
        <w:t xml:space="preserve">completion </w:t>
      </w:r>
      <w:r w:rsidR="000448A8" w:rsidRPr="00BE2203">
        <w:rPr>
          <w:rFonts w:asciiTheme="minorHAnsi" w:hAnsiTheme="minorHAnsi"/>
          <w:sz w:val="24"/>
          <w:szCs w:val="24"/>
        </w:rPr>
        <w:t>rate</w:t>
      </w:r>
      <w:r w:rsidR="000327E1">
        <w:rPr>
          <w:rFonts w:asciiTheme="minorHAnsi" w:hAnsiTheme="minorHAnsi"/>
          <w:sz w:val="24"/>
          <w:szCs w:val="24"/>
        </w:rPr>
        <w:t>s</w:t>
      </w:r>
      <w:r w:rsidR="000448A8" w:rsidRPr="00BE2203">
        <w:rPr>
          <w:rFonts w:asciiTheme="minorHAnsi" w:hAnsiTheme="minorHAnsi"/>
          <w:sz w:val="24"/>
          <w:szCs w:val="24"/>
        </w:rPr>
        <w:t xml:space="preserve"> for full-time VET students, aged 25 and under, by qualification level. We can see that certif</w:t>
      </w:r>
      <w:r w:rsidR="000327E1">
        <w:rPr>
          <w:rFonts w:asciiTheme="minorHAnsi" w:hAnsiTheme="minorHAnsi"/>
          <w:sz w:val="24"/>
          <w:szCs w:val="24"/>
        </w:rPr>
        <w:t xml:space="preserve">icate III </w:t>
      </w:r>
      <w:r w:rsidR="00B53360">
        <w:rPr>
          <w:rFonts w:asciiTheme="minorHAnsi" w:hAnsiTheme="minorHAnsi"/>
          <w:sz w:val="24"/>
          <w:szCs w:val="24"/>
        </w:rPr>
        <w:t>courses</w:t>
      </w:r>
      <w:r w:rsidR="000327E1">
        <w:rPr>
          <w:rFonts w:asciiTheme="minorHAnsi" w:hAnsiTheme="minorHAnsi"/>
          <w:sz w:val="24"/>
          <w:szCs w:val="24"/>
        </w:rPr>
        <w:t xml:space="preserve"> have a </w:t>
      </w:r>
      <w:r w:rsidR="000448A8" w:rsidRPr="00BE2203">
        <w:rPr>
          <w:rFonts w:asciiTheme="minorHAnsi" w:hAnsiTheme="minorHAnsi"/>
          <w:sz w:val="24"/>
          <w:szCs w:val="24"/>
        </w:rPr>
        <w:t xml:space="preserve">considerably higher completion rate (46%) than the other levels. </w:t>
      </w:r>
    </w:p>
    <w:p w:rsidR="000448A8" w:rsidRPr="00BE2203" w:rsidRDefault="000448A8" w:rsidP="000448A8">
      <w:pPr>
        <w:pStyle w:val="tabletitle"/>
        <w:rPr>
          <w:rFonts w:ascii="Arial" w:hAnsi="Arial" w:cs="Arial"/>
          <w:sz w:val="20"/>
        </w:rPr>
      </w:pPr>
      <w:bookmarkStart w:id="10" w:name="_Toc311991633"/>
      <w:r w:rsidRPr="00BE2203">
        <w:rPr>
          <w:rFonts w:ascii="Arial" w:hAnsi="Arial" w:cs="Arial"/>
          <w:sz w:val="20"/>
        </w:rPr>
        <w:t>Table 4</w:t>
      </w:r>
      <w:r w:rsidRPr="00BE2203">
        <w:rPr>
          <w:rFonts w:ascii="Arial" w:hAnsi="Arial" w:cs="Arial"/>
          <w:sz w:val="20"/>
        </w:rPr>
        <w:tab/>
        <w:t>Projected qualification completion rates and load pass rates for qualifications commencing 2008, full-time, aged 25 years and under, with no prior VET qualification, by level</w:t>
      </w:r>
      <w:bookmarkEnd w:id="10"/>
    </w:p>
    <w:tbl>
      <w:tblPr>
        <w:tblW w:w="8222" w:type="dxa"/>
        <w:tblInd w:w="108" w:type="dxa"/>
        <w:tblBorders>
          <w:top w:val="single" w:sz="4" w:space="0" w:color="auto"/>
          <w:bottom w:val="single" w:sz="4" w:space="0" w:color="auto"/>
        </w:tblBorders>
        <w:tblLayout w:type="fixed"/>
        <w:tblLook w:val="0000" w:firstRow="0" w:lastRow="0" w:firstColumn="0" w:lastColumn="0" w:noHBand="0" w:noVBand="0"/>
      </w:tblPr>
      <w:tblGrid>
        <w:gridCol w:w="2552"/>
        <w:gridCol w:w="2977"/>
        <w:gridCol w:w="2693"/>
      </w:tblGrid>
      <w:tr w:rsidR="000448A8" w:rsidRPr="00545349" w:rsidTr="00E449B6">
        <w:trPr>
          <w:cantSplit/>
        </w:trPr>
        <w:tc>
          <w:tcPr>
            <w:tcW w:w="2552" w:type="dxa"/>
            <w:tcBorders>
              <w:top w:val="single" w:sz="4" w:space="0" w:color="auto"/>
              <w:bottom w:val="nil"/>
              <w:right w:val="nil"/>
            </w:tcBorders>
          </w:tcPr>
          <w:p w:rsidR="000448A8" w:rsidRPr="00BE2203" w:rsidRDefault="000448A8" w:rsidP="00BE2203">
            <w:pPr>
              <w:pStyle w:val="Tablehead1"/>
              <w:rPr>
                <w:sz w:val="18"/>
                <w:szCs w:val="18"/>
              </w:rPr>
            </w:pPr>
            <w:r w:rsidRPr="00BE2203">
              <w:rPr>
                <w:sz w:val="18"/>
                <w:szCs w:val="18"/>
              </w:rPr>
              <w:t>AQF qualifications</w:t>
            </w:r>
          </w:p>
        </w:tc>
        <w:tc>
          <w:tcPr>
            <w:tcW w:w="2977" w:type="dxa"/>
            <w:tcBorders>
              <w:top w:val="single" w:sz="4" w:space="0" w:color="auto"/>
              <w:left w:val="nil"/>
              <w:bottom w:val="nil"/>
            </w:tcBorders>
          </w:tcPr>
          <w:p w:rsidR="000448A8" w:rsidRPr="00BE2203" w:rsidRDefault="000448A8" w:rsidP="00BE2203">
            <w:pPr>
              <w:pStyle w:val="Tablehead1"/>
              <w:tabs>
                <w:tab w:val="center" w:pos="561"/>
              </w:tabs>
              <w:jc w:val="center"/>
              <w:rPr>
                <w:sz w:val="18"/>
                <w:szCs w:val="18"/>
              </w:rPr>
            </w:pPr>
            <w:r w:rsidRPr="00BE2203">
              <w:rPr>
                <w:sz w:val="18"/>
                <w:szCs w:val="18"/>
              </w:rPr>
              <w:t xml:space="preserve">Projected qualification </w:t>
            </w:r>
            <w:r w:rsidRPr="00BE2203">
              <w:rPr>
                <w:sz w:val="18"/>
                <w:szCs w:val="18"/>
              </w:rPr>
              <w:br/>
              <w:t>completion rate (%)</w:t>
            </w:r>
          </w:p>
        </w:tc>
        <w:tc>
          <w:tcPr>
            <w:tcW w:w="2693" w:type="dxa"/>
            <w:tcBorders>
              <w:top w:val="single" w:sz="4" w:space="0" w:color="auto"/>
              <w:left w:val="nil"/>
              <w:bottom w:val="nil"/>
            </w:tcBorders>
          </w:tcPr>
          <w:p w:rsidR="000448A8" w:rsidRPr="00BE2203" w:rsidRDefault="000448A8" w:rsidP="00BE2203">
            <w:pPr>
              <w:pStyle w:val="Tablehead1"/>
              <w:jc w:val="center"/>
              <w:rPr>
                <w:sz w:val="18"/>
                <w:szCs w:val="18"/>
              </w:rPr>
            </w:pPr>
            <w:r w:rsidRPr="00BE2203">
              <w:rPr>
                <w:sz w:val="18"/>
                <w:szCs w:val="18"/>
              </w:rPr>
              <w:t xml:space="preserve">Subject load </w:t>
            </w:r>
            <w:r w:rsidRPr="00BE2203">
              <w:rPr>
                <w:sz w:val="18"/>
                <w:szCs w:val="18"/>
              </w:rPr>
              <w:br/>
              <w:t>pass rate (%)</w:t>
            </w:r>
          </w:p>
        </w:tc>
      </w:tr>
      <w:tr w:rsidR="000448A8" w:rsidRPr="00545349" w:rsidTr="00E449B6">
        <w:trPr>
          <w:cantSplit/>
        </w:trPr>
        <w:tc>
          <w:tcPr>
            <w:tcW w:w="2552" w:type="dxa"/>
            <w:tcBorders>
              <w:top w:val="nil"/>
              <w:bottom w:val="single" w:sz="4" w:space="0" w:color="auto"/>
              <w:right w:val="nil"/>
            </w:tcBorders>
          </w:tcPr>
          <w:p w:rsidR="000448A8" w:rsidRPr="00BE2203" w:rsidRDefault="000448A8" w:rsidP="00BE2203">
            <w:pPr>
              <w:pStyle w:val="Tablehead2"/>
              <w:jc w:val="center"/>
              <w:rPr>
                <w:sz w:val="18"/>
                <w:szCs w:val="18"/>
              </w:rPr>
            </w:pPr>
          </w:p>
        </w:tc>
        <w:tc>
          <w:tcPr>
            <w:tcW w:w="2977" w:type="dxa"/>
            <w:tcBorders>
              <w:top w:val="nil"/>
              <w:left w:val="nil"/>
              <w:bottom w:val="single" w:sz="4" w:space="0" w:color="auto"/>
            </w:tcBorders>
          </w:tcPr>
          <w:p w:rsidR="000448A8" w:rsidRPr="00BE2203" w:rsidRDefault="000448A8" w:rsidP="00BE2203">
            <w:pPr>
              <w:pStyle w:val="Tablehead2"/>
              <w:jc w:val="center"/>
              <w:rPr>
                <w:sz w:val="18"/>
                <w:szCs w:val="18"/>
              </w:rPr>
            </w:pPr>
            <w:r w:rsidRPr="00BE2203">
              <w:rPr>
                <w:sz w:val="18"/>
                <w:szCs w:val="18"/>
              </w:rPr>
              <w:t>2008</w:t>
            </w:r>
          </w:p>
        </w:tc>
        <w:tc>
          <w:tcPr>
            <w:tcW w:w="2693" w:type="dxa"/>
            <w:tcBorders>
              <w:top w:val="nil"/>
              <w:left w:val="nil"/>
              <w:bottom w:val="single" w:sz="4" w:space="0" w:color="auto"/>
            </w:tcBorders>
          </w:tcPr>
          <w:p w:rsidR="000448A8" w:rsidRPr="00BE2203" w:rsidRDefault="000448A8" w:rsidP="00BE2203">
            <w:pPr>
              <w:pStyle w:val="Tablehead2"/>
              <w:jc w:val="center"/>
              <w:rPr>
                <w:sz w:val="18"/>
                <w:szCs w:val="18"/>
              </w:rPr>
            </w:pPr>
            <w:r w:rsidRPr="00BE2203">
              <w:rPr>
                <w:sz w:val="18"/>
                <w:szCs w:val="18"/>
              </w:rPr>
              <w:t>2008</w:t>
            </w:r>
          </w:p>
        </w:tc>
      </w:tr>
      <w:tr w:rsidR="000448A8" w:rsidTr="00E449B6">
        <w:trPr>
          <w:cantSplit/>
        </w:trPr>
        <w:tc>
          <w:tcPr>
            <w:tcW w:w="2552" w:type="dxa"/>
            <w:tcBorders>
              <w:top w:val="single" w:sz="4" w:space="0" w:color="auto"/>
              <w:bottom w:val="nil"/>
              <w:right w:val="nil"/>
            </w:tcBorders>
          </w:tcPr>
          <w:p w:rsidR="000448A8" w:rsidRPr="00BE2203" w:rsidRDefault="000448A8" w:rsidP="00BE2203">
            <w:pPr>
              <w:pStyle w:val="Tabletext"/>
              <w:rPr>
                <w:sz w:val="18"/>
                <w:szCs w:val="18"/>
              </w:rPr>
            </w:pPr>
            <w:r w:rsidRPr="00BE2203">
              <w:rPr>
                <w:sz w:val="18"/>
                <w:szCs w:val="18"/>
              </w:rPr>
              <w:t>Diploma and above</w:t>
            </w:r>
          </w:p>
        </w:tc>
        <w:tc>
          <w:tcPr>
            <w:tcW w:w="2977" w:type="dxa"/>
            <w:tcBorders>
              <w:top w:val="single" w:sz="4" w:space="0" w:color="auto"/>
              <w:left w:val="nil"/>
            </w:tcBorders>
          </w:tcPr>
          <w:p w:rsidR="000448A8" w:rsidRPr="00BE2203" w:rsidRDefault="000448A8" w:rsidP="00BE2203">
            <w:pPr>
              <w:pStyle w:val="Tabletext"/>
              <w:jc w:val="center"/>
              <w:rPr>
                <w:sz w:val="18"/>
                <w:szCs w:val="18"/>
              </w:rPr>
            </w:pPr>
            <w:r w:rsidRPr="00BE2203">
              <w:rPr>
                <w:sz w:val="18"/>
                <w:szCs w:val="18"/>
              </w:rPr>
              <w:t>35</w:t>
            </w:r>
          </w:p>
        </w:tc>
        <w:tc>
          <w:tcPr>
            <w:tcW w:w="2693" w:type="dxa"/>
            <w:tcBorders>
              <w:top w:val="single" w:sz="4" w:space="0" w:color="auto"/>
              <w:left w:val="nil"/>
            </w:tcBorders>
          </w:tcPr>
          <w:p w:rsidR="000448A8" w:rsidRPr="00BE2203" w:rsidRDefault="000448A8" w:rsidP="00BE2203">
            <w:pPr>
              <w:pStyle w:val="Tabletext"/>
              <w:jc w:val="center"/>
              <w:rPr>
                <w:sz w:val="18"/>
                <w:szCs w:val="18"/>
              </w:rPr>
            </w:pPr>
            <w:r w:rsidRPr="00BE2203">
              <w:rPr>
                <w:sz w:val="18"/>
                <w:szCs w:val="18"/>
              </w:rPr>
              <w:t>79</w:t>
            </w:r>
          </w:p>
        </w:tc>
      </w:tr>
      <w:tr w:rsidR="000448A8" w:rsidTr="00E449B6">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Certificate IV</w:t>
            </w:r>
          </w:p>
        </w:tc>
        <w:tc>
          <w:tcPr>
            <w:tcW w:w="2977" w:type="dxa"/>
            <w:tcBorders>
              <w:left w:val="nil"/>
            </w:tcBorders>
          </w:tcPr>
          <w:p w:rsidR="000448A8" w:rsidRPr="00BE2203" w:rsidRDefault="000448A8" w:rsidP="00BE2203">
            <w:pPr>
              <w:pStyle w:val="Tabletext"/>
              <w:jc w:val="center"/>
              <w:rPr>
                <w:sz w:val="18"/>
                <w:szCs w:val="18"/>
              </w:rPr>
            </w:pPr>
            <w:r w:rsidRPr="00BE2203">
              <w:rPr>
                <w:sz w:val="18"/>
                <w:szCs w:val="18"/>
              </w:rPr>
              <w:t>34</w:t>
            </w:r>
          </w:p>
        </w:tc>
        <w:tc>
          <w:tcPr>
            <w:tcW w:w="2693" w:type="dxa"/>
            <w:tcBorders>
              <w:left w:val="nil"/>
            </w:tcBorders>
          </w:tcPr>
          <w:p w:rsidR="000448A8" w:rsidRPr="00BE2203" w:rsidRDefault="000448A8" w:rsidP="00BE2203">
            <w:pPr>
              <w:pStyle w:val="Tabletext"/>
              <w:jc w:val="center"/>
              <w:rPr>
                <w:sz w:val="18"/>
                <w:szCs w:val="18"/>
              </w:rPr>
            </w:pPr>
            <w:r w:rsidRPr="00BE2203">
              <w:rPr>
                <w:sz w:val="18"/>
                <w:szCs w:val="18"/>
              </w:rPr>
              <w:t>75</w:t>
            </w:r>
          </w:p>
        </w:tc>
      </w:tr>
      <w:tr w:rsidR="000448A8" w:rsidTr="00E449B6">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Certificate III</w:t>
            </w:r>
          </w:p>
        </w:tc>
        <w:tc>
          <w:tcPr>
            <w:tcW w:w="2977" w:type="dxa"/>
            <w:tcBorders>
              <w:left w:val="nil"/>
            </w:tcBorders>
          </w:tcPr>
          <w:p w:rsidR="000448A8" w:rsidRPr="00BE2203" w:rsidRDefault="000448A8" w:rsidP="00BE2203">
            <w:pPr>
              <w:pStyle w:val="Tabletext"/>
              <w:jc w:val="center"/>
              <w:rPr>
                <w:sz w:val="18"/>
                <w:szCs w:val="18"/>
              </w:rPr>
            </w:pPr>
            <w:r w:rsidRPr="00BE2203">
              <w:rPr>
                <w:sz w:val="18"/>
                <w:szCs w:val="18"/>
              </w:rPr>
              <w:t>46</w:t>
            </w:r>
          </w:p>
        </w:tc>
        <w:tc>
          <w:tcPr>
            <w:tcW w:w="2693" w:type="dxa"/>
            <w:tcBorders>
              <w:left w:val="nil"/>
            </w:tcBorders>
          </w:tcPr>
          <w:p w:rsidR="000448A8" w:rsidRPr="00BE2203" w:rsidRDefault="000448A8" w:rsidP="00BE2203">
            <w:pPr>
              <w:pStyle w:val="Tabletext"/>
              <w:jc w:val="center"/>
              <w:rPr>
                <w:sz w:val="18"/>
                <w:szCs w:val="18"/>
              </w:rPr>
            </w:pPr>
            <w:r w:rsidRPr="00BE2203">
              <w:rPr>
                <w:sz w:val="18"/>
                <w:szCs w:val="18"/>
              </w:rPr>
              <w:t>80</w:t>
            </w:r>
          </w:p>
        </w:tc>
      </w:tr>
      <w:tr w:rsidR="000448A8" w:rsidTr="00E449B6">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Certificate II</w:t>
            </w:r>
          </w:p>
        </w:tc>
        <w:tc>
          <w:tcPr>
            <w:tcW w:w="2977" w:type="dxa"/>
            <w:tcBorders>
              <w:left w:val="nil"/>
              <w:bottom w:val="nil"/>
            </w:tcBorders>
          </w:tcPr>
          <w:p w:rsidR="000448A8" w:rsidRPr="00BE2203" w:rsidRDefault="000448A8" w:rsidP="00BE2203">
            <w:pPr>
              <w:pStyle w:val="Tabletext"/>
              <w:jc w:val="center"/>
              <w:rPr>
                <w:sz w:val="18"/>
                <w:szCs w:val="18"/>
              </w:rPr>
            </w:pPr>
            <w:r w:rsidRPr="00BE2203">
              <w:rPr>
                <w:sz w:val="18"/>
                <w:szCs w:val="18"/>
              </w:rPr>
              <w:t>32</w:t>
            </w:r>
          </w:p>
        </w:tc>
        <w:tc>
          <w:tcPr>
            <w:tcW w:w="2693" w:type="dxa"/>
            <w:tcBorders>
              <w:left w:val="nil"/>
              <w:bottom w:val="nil"/>
            </w:tcBorders>
          </w:tcPr>
          <w:p w:rsidR="000448A8" w:rsidRPr="00BE2203" w:rsidRDefault="000448A8" w:rsidP="00BE2203">
            <w:pPr>
              <w:pStyle w:val="Tabletext"/>
              <w:jc w:val="center"/>
              <w:rPr>
                <w:sz w:val="18"/>
                <w:szCs w:val="18"/>
              </w:rPr>
            </w:pPr>
            <w:r w:rsidRPr="00BE2203">
              <w:rPr>
                <w:sz w:val="18"/>
                <w:szCs w:val="18"/>
              </w:rPr>
              <w:t>71</w:t>
            </w:r>
          </w:p>
        </w:tc>
      </w:tr>
      <w:tr w:rsidR="000448A8" w:rsidTr="00E449B6">
        <w:trPr>
          <w:cantSplit/>
        </w:trPr>
        <w:tc>
          <w:tcPr>
            <w:tcW w:w="2552" w:type="dxa"/>
            <w:tcBorders>
              <w:top w:val="nil"/>
              <w:bottom w:val="nil"/>
              <w:right w:val="nil"/>
            </w:tcBorders>
          </w:tcPr>
          <w:p w:rsidR="000448A8" w:rsidRPr="00BE2203" w:rsidRDefault="000448A8" w:rsidP="00BE2203">
            <w:pPr>
              <w:pStyle w:val="Tabletext"/>
              <w:rPr>
                <w:sz w:val="18"/>
                <w:szCs w:val="18"/>
              </w:rPr>
            </w:pPr>
            <w:r w:rsidRPr="00BE2203">
              <w:rPr>
                <w:sz w:val="18"/>
                <w:szCs w:val="18"/>
              </w:rPr>
              <w:t>Certificate I</w:t>
            </w:r>
          </w:p>
        </w:tc>
        <w:tc>
          <w:tcPr>
            <w:tcW w:w="2977" w:type="dxa"/>
            <w:tcBorders>
              <w:top w:val="nil"/>
              <w:left w:val="nil"/>
              <w:bottom w:val="nil"/>
            </w:tcBorders>
          </w:tcPr>
          <w:p w:rsidR="000448A8" w:rsidRPr="00BE2203" w:rsidRDefault="000448A8" w:rsidP="00BE2203">
            <w:pPr>
              <w:pStyle w:val="Tabletext"/>
              <w:jc w:val="center"/>
              <w:rPr>
                <w:sz w:val="18"/>
                <w:szCs w:val="18"/>
              </w:rPr>
            </w:pPr>
            <w:r w:rsidRPr="00BE2203">
              <w:rPr>
                <w:sz w:val="18"/>
                <w:szCs w:val="18"/>
              </w:rPr>
              <w:t>31</w:t>
            </w:r>
          </w:p>
        </w:tc>
        <w:tc>
          <w:tcPr>
            <w:tcW w:w="2693" w:type="dxa"/>
            <w:tcBorders>
              <w:top w:val="nil"/>
              <w:left w:val="nil"/>
              <w:bottom w:val="nil"/>
            </w:tcBorders>
          </w:tcPr>
          <w:p w:rsidR="000448A8" w:rsidRPr="00BE2203" w:rsidRDefault="000448A8" w:rsidP="00BE2203">
            <w:pPr>
              <w:pStyle w:val="Tabletext"/>
              <w:jc w:val="center"/>
              <w:rPr>
                <w:sz w:val="18"/>
                <w:szCs w:val="18"/>
              </w:rPr>
            </w:pPr>
            <w:r w:rsidRPr="00BE2203">
              <w:rPr>
                <w:sz w:val="18"/>
                <w:szCs w:val="18"/>
              </w:rPr>
              <w:t>69</w:t>
            </w:r>
          </w:p>
        </w:tc>
      </w:tr>
      <w:tr w:rsidR="000448A8" w:rsidRPr="001D5110" w:rsidTr="00E449B6">
        <w:trPr>
          <w:cantSplit/>
        </w:trPr>
        <w:tc>
          <w:tcPr>
            <w:tcW w:w="2552" w:type="dxa"/>
            <w:tcBorders>
              <w:top w:val="nil"/>
              <w:bottom w:val="single" w:sz="4" w:space="0" w:color="auto"/>
              <w:right w:val="nil"/>
            </w:tcBorders>
          </w:tcPr>
          <w:p w:rsidR="000448A8" w:rsidRPr="00BE2203" w:rsidRDefault="000448A8" w:rsidP="00BE2203">
            <w:pPr>
              <w:pStyle w:val="Tabletext"/>
              <w:rPr>
                <w:b/>
                <w:sz w:val="18"/>
                <w:szCs w:val="18"/>
              </w:rPr>
            </w:pPr>
            <w:r w:rsidRPr="00BE2203">
              <w:rPr>
                <w:b/>
                <w:sz w:val="18"/>
                <w:szCs w:val="18"/>
              </w:rPr>
              <w:t>Total</w:t>
            </w:r>
          </w:p>
        </w:tc>
        <w:tc>
          <w:tcPr>
            <w:tcW w:w="2977" w:type="dxa"/>
            <w:tcBorders>
              <w:top w:val="nil"/>
              <w:left w:val="nil"/>
              <w:bottom w:val="single" w:sz="4" w:space="0" w:color="auto"/>
            </w:tcBorders>
          </w:tcPr>
          <w:p w:rsidR="000448A8" w:rsidRPr="00BE2203" w:rsidRDefault="000448A8" w:rsidP="00BE2203">
            <w:pPr>
              <w:pStyle w:val="Tabletext"/>
              <w:jc w:val="center"/>
              <w:rPr>
                <w:b/>
                <w:sz w:val="18"/>
                <w:szCs w:val="18"/>
              </w:rPr>
            </w:pPr>
            <w:r w:rsidRPr="00BE2203">
              <w:rPr>
                <w:b/>
                <w:sz w:val="18"/>
                <w:szCs w:val="18"/>
              </w:rPr>
              <w:t>37</w:t>
            </w:r>
          </w:p>
        </w:tc>
        <w:tc>
          <w:tcPr>
            <w:tcW w:w="2693" w:type="dxa"/>
            <w:tcBorders>
              <w:top w:val="nil"/>
              <w:left w:val="nil"/>
              <w:bottom w:val="single" w:sz="4" w:space="0" w:color="auto"/>
            </w:tcBorders>
          </w:tcPr>
          <w:p w:rsidR="000448A8" w:rsidRPr="00BE2203" w:rsidRDefault="000448A8" w:rsidP="00BE2203">
            <w:pPr>
              <w:pStyle w:val="Tabletext"/>
              <w:jc w:val="center"/>
              <w:rPr>
                <w:b/>
                <w:sz w:val="18"/>
                <w:szCs w:val="18"/>
              </w:rPr>
            </w:pPr>
            <w:r w:rsidRPr="00BE2203">
              <w:rPr>
                <w:b/>
                <w:sz w:val="18"/>
                <w:szCs w:val="18"/>
              </w:rPr>
              <w:t>78</w:t>
            </w:r>
          </w:p>
        </w:tc>
      </w:tr>
    </w:tbl>
    <w:p w:rsidR="00E449B6" w:rsidRDefault="000448A8" w:rsidP="00E449B6">
      <w:pPr>
        <w:pStyle w:val="Source"/>
      </w:pPr>
      <w:r w:rsidRPr="00DC2E9F">
        <w:t>Note: AQF = Australian Qualifications Framework</w:t>
      </w:r>
      <w:r w:rsidR="00E449B6" w:rsidRPr="00E449B6">
        <w:t xml:space="preserve"> </w:t>
      </w:r>
      <w:r w:rsidR="00E449B6">
        <w:tab/>
      </w:r>
      <w:r w:rsidR="00E449B6">
        <w:tab/>
      </w:r>
      <w:r w:rsidR="00E449B6">
        <w:tab/>
      </w:r>
      <w:r w:rsidR="00E449B6">
        <w:tab/>
        <w:t>Source:</w:t>
      </w:r>
      <w:r w:rsidR="00E449B6">
        <w:tab/>
        <w:t>NCVER (</w:t>
      </w:r>
      <w:r w:rsidR="00E449B6" w:rsidRPr="00504C9F">
        <w:t>2011b</w:t>
      </w:r>
      <w:r w:rsidR="00E449B6">
        <w:t>).</w:t>
      </w:r>
    </w:p>
    <w:p w:rsidR="00BE2203" w:rsidRDefault="00BE2203" w:rsidP="00BE2203">
      <w:pPr>
        <w:pStyle w:val="Text"/>
        <w:spacing w:before="0" w:line="240" w:lineRule="auto"/>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Looking back at table 3, the subject load pass rate for all VET students is quite high, at 80%</w:t>
      </w:r>
      <w:r w:rsidR="00D16DE1">
        <w:rPr>
          <w:rFonts w:asciiTheme="minorHAnsi" w:hAnsiTheme="minorHAnsi"/>
          <w:sz w:val="24"/>
          <w:szCs w:val="24"/>
        </w:rPr>
        <w:t xml:space="preserve">, while </w:t>
      </w:r>
      <w:r w:rsidRPr="00BE2203">
        <w:rPr>
          <w:rFonts w:asciiTheme="minorHAnsi" w:hAnsiTheme="minorHAnsi"/>
          <w:sz w:val="24"/>
          <w:szCs w:val="24"/>
        </w:rPr>
        <w:t>the projected qualification completion rate is comparatively low (</w:t>
      </w:r>
      <w:r w:rsidR="00816B46">
        <w:rPr>
          <w:rFonts w:asciiTheme="minorHAnsi" w:hAnsiTheme="minorHAnsi"/>
          <w:sz w:val="24"/>
          <w:szCs w:val="24"/>
        </w:rPr>
        <w:t>28</w:t>
      </w:r>
      <w:r w:rsidRPr="00BE2203">
        <w:rPr>
          <w:rFonts w:asciiTheme="minorHAnsi" w:hAnsiTheme="minorHAnsi"/>
          <w:sz w:val="24"/>
          <w:szCs w:val="24"/>
        </w:rPr>
        <w:t>%). This suggests that</w:t>
      </w:r>
      <w:r w:rsidR="00D16DE1">
        <w:rPr>
          <w:rFonts w:asciiTheme="minorHAnsi" w:hAnsiTheme="minorHAnsi"/>
          <w:sz w:val="24"/>
          <w:szCs w:val="24"/>
        </w:rPr>
        <w:t>, on the whole,</w:t>
      </w:r>
      <w:r w:rsidRPr="00BE2203">
        <w:rPr>
          <w:rFonts w:asciiTheme="minorHAnsi" w:hAnsiTheme="minorHAnsi"/>
          <w:sz w:val="24"/>
          <w:szCs w:val="24"/>
        </w:rPr>
        <w:t xml:space="preserve"> the subjects attempted are completed but that students are not completing the whole qualification.</w:t>
      </w:r>
      <w:r w:rsidR="000327E1">
        <w:rPr>
          <w:rFonts w:asciiTheme="minorHAnsi" w:hAnsiTheme="minorHAnsi"/>
          <w:sz w:val="24"/>
          <w:szCs w:val="24"/>
        </w:rPr>
        <w:t xml:space="preserve"> </w:t>
      </w:r>
    </w:p>
    <w:p w:rsidR="000448A8" w:rsidRPr="00BE2203"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The latest completion rates for apprentices and trainees are shown in table 5. Notice that the contract completion rate for trades (45%) is lower than that for non-trades (53%); however, once we look at individual completion rates, they are similar. This suggests that looking at contract completion rates alone can be misleading, because individuals in trade occupations often change employers and have to start a new contract of training, which is not captured by the contract completion rate.</w:t>
      </w:r>
    </w:p>
    <w:p w:rsidR="000448A8" w:rsidRPr="00BE2203" w:rsidRDefault="000448A8" w:rsidP="000448A8">
      <w:pPr>
        <w:pStyle w:val="tabletitle"/>
        <w:rPr>
          <w:rFonts w:ascii="Arial" w:hAnsi="Arial" w:cs="Arial"/>
          <w:sz w:val="20"/>
        </w:rPr>
      </w:pPr>
      <w:bookmarkStart w:id="11" w:name="_Toc311991634"/>
      <w:r w:rsidRPr="00BE2203">
        <w:rPr>
          <w:rFonts w:ascii="Arial" w:hAnsi="Arial" w:cs="Arial"/>
          <w:sz w:val="20"/>
        </w:rPr>
        <w:t>Table 5</w:t>
      </w:r>
      <w:r w:rsidRPr="00BE2203">
        <w:rPr>
          <w:rFonts w:ascii="Arial" w:hAnsi="Arial" w:cs="Arial"/>
          <w:sz w:val="20"/>
        </w:rPr>
        <w:tab/>
        <w:t>Latest completion rates for apprentices and trainees</w:t>
      </w:r>
      <w:bookmarkEnd w:id="11"/>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2977"/>
        <w:gridCol w:w="2835"/>
        <w:gridCol w:w="1488"/>
        <w:gridCol w:w="1489"/>
      </w:tblGrid>
      <w:tr w:rsidR="000448A8" w:rsidTr="00BE2203">
        <w:trPr>
          <w:cantSplit/>
          <w:trHeight w:val="175"/>
        </w:trPr>
        <w:tc>
          <w:tcPr>
            <w:tcW w:w="2977" w:type="dxa"/>
            <w:tcBorders>
              <w:top w:val="single" w:sz="4" w:space="0" w:color="auto"/>
              <w:right w:val="nil"/>
            </w:tcBorders>
          </w:tcPr>
          <w:p w:rsidR="000448A8" w:rsidRPr="00BE2203" w:rsidRDefault="000448A8" w:rsidP="00BE2203">
            <w:pPr>
              <w:pStyle w:val="Tablehead1"/>
              <w:rPr>
                <w:sz w:val="18"/>
                <w:szCs w:val="18"/>
              </w:rPr>
            </w:pPr>
            <w:r w:rsidRPr="00BE2203">
              <w:rPr>
                <w:sz w:val="18"/>
                <w:szCs w:val="18"/>
              </w:rPr>
              <w:t>Completion rate</w:t>
            </w:r>
          </w:p>
        </w:tc>
        <w:tc>
          <w:tcPr>
            <w:tcW w:w="2835" w:type="dxa"/>
            <w:tcBorders>
              <w:top w:val="single" w:sz="4" w:space="0" w:color="auto"/>
              <w:left w:val="nil"/>
              <w:bottom w:val="nil"/>
            </w:tcBorders>
          </w:tcPr>
          <w:p w:rsidR="000448A8" w:rsidRPr="00BE2203" w:rsidRDefault="000448A8" w:rsidP="00BE2203">
            <w:pPr>
              <w:pStyle w:val="Tablehead1"/>
              <w:jc w:val="center"/>
              <w:rPr>
                <w:sz w:val="18"/>
                <w:szCs w:val="18"/>
              </w:rPr>
            </w:pPr>
            <w:r w:rsidRPr="00BE2203">
              <w:rPr>
                <w:sz w:val="18"/>
                <w:szCs w:val="18"/>
              </w:rPr>
              <w:t>Commencing in</w:t>
            </w:r>
          </w:p>
        </w:tc>
        <w:tc>
          <w:tcPr>
            <w:tcW w:w="2977" w:type="dxa"/>
            <w:gridSpan w:val="2"/>
            <w:tcBorders>
              <w:top w:val="single" w:sz="4" w:space="0" w:color="auto"/>
              <w:left w:val="nil"/>
              <w:bottom w:val="nil"/>
            </w:tcBorders>
          </w:tcPr>
          <w:p w:rsidR="000448A8" w:rsidRPr="00BE2203" w:rsidRDefault="000448A8" w:rsidP="00BE2203">
            <w:pPr>
              <w:pStyle w:val="Tablehead1"/>
              <w:jc w:val="center"/>
              <w:rPr>
                <w:sz w:val="18"/>
                <w:szCs w:val="18"/>
              </w:rPr>
            </w:pPr>
            <w:r w:rsidRPr="00BE2203">
              <w:rPr>
                <w:sz w:val="18"/>
                <w:szCs w:val="18"/>
              </w:rPr>
              <w:t>Completion rate</w:t>
            </w:r>
          </w:p>
        </w:tc>
      </w:tr>
      <w:tr w:rsidR="000448A8" w:rsidTr="00BE2203">
        <w:trPr>
          <w:cantSplit/>
          <w:trHeight w:val="175"/>
        </w:trPr>
        <w:tc>
          <w:tcPr>
            <w:tcW w:w="2977" w:type="dxa"/>
            <w:tcBorders>
              <w:bottom w:val="single" w:sz="4" w:space="0" w:color="auto"/>
              <w:right w:val="nil"/>
            </w:tcBorders>
          </w:tcPr>
          <w:p w:rsidR="000448A8" w:rsidRPr="00BE2203" w:rsidRDefault="000448A8" w:rsidP="00BE2203">
            <w:pPr>
              <w:pStyle w:val="Tablehead2"/>
              <w:jc w:val="center"/>
              <w:rPr>
                <w:sz w:val="18"/>
                <w:szCs w:val="18"/>
              </w:rPr>
            </w:pPr>
          </w:p>
        </w:tc>
        <w:tc>
          <w:tcPr>
            <w:tcW w:w="2835" w:type="dxa"/>
            <w:tcBorders>
              <w:top w:val="nil"/>
              <w:left w:val="nil"/>
              <w:bottom w:val="single" w:sz="4" w:space="0" w:color="auto"/>
            </w:tcBorders>
          </w:tcPr>
          <w:p w:rsidR="000448A8" w:rsidRPr="00BE2203" w:rsidRDefault="000448A8" w:rsidP="00BE2203">
            <w:pPr>
              <w:pStyle w:val="Tablehead2"/>
              <w:jc w:val="center"/>
              <w:rPr>
                <w:sz w:val="18"/>
                <w:szCs w:val="18"/>
              </w:rPr>
            </w:pPr>
          </w:p>
        </w:tc>
        <w:tc>
          <w:tcPr>
            <w:tcW w:w="1488" w:type="dxa"/>
            <w:tcBorders>
              <w:top w:val="nil"/>
              <w:left w:val="nil"/>
              <w:bottom w:val="single" w:sz="4" w:space="0" w:color="auto"/>
            </w:tcBorders>
          </w:tcPr>
          <w:p w:rsidR="000448A8" w:rsidRPr="00BE2203" w:rsidRDefault="000448A8" w:rsidP="00BE2203">
            <w:pPr>
              <w:pStyle w:val="Tablehead2"/>
              <w:jc w:val="center"/>
              <w:rPr>
                <w:sz w:val="18"/>
                <w:szCs w:val="18"/>
              </w:rPr>
            </w:pPr>
            <w:r w:rsidRPr="00BE2203">
              <w:rPr>
                <w:sz w:val="18"/>
                <w:szCs w:val="18"/>
              </w:rPr>
              <w:t>Trades (%)</w:t>
            </w:r>
          </w:p>
        </w:tc>
        <w:tc>
          <w:tcPr>
            <w:tcW w:w="1489" w:type="dxa"/>
            <w:tcBorders>
              <w:top w:val="nil"/>
              <w:left w:val="nil"/>
              <w:bottom w:val="single" w:sz="4" w:space="0" w:color="auto"/>
            </w:tcBorders>
          </w:tcPr>
          <w:p w:rsidR="000448A8" w:rsidRPr="00BE2203" w:rsidRDefault="000448A8" w:rsidP="00BE2203">
            <w:pPr>
              <w:pStyle w:val="Tablehead2"/>
              <w:jc w:val="center"/>
              <w:rPr>
                <w:sz w:val="18"/>
                <w:szCs w:val="18"/>
              </w:rPr>
            </w:pPr>
            <w:r w:rsidRPr="00BE2203">
              <w:rPr>
                <w:sz w:val="18"/>
                <w:szCs w:val="18"/>
              </w:rPr>
              <w:t>Non-trades (%)</w:t>
            </w:r>
          </w:p>
        </w:tc>
      </w:tr>
      <w:tr w:rsidR="000448A8" w:rsidTr="00BE2203">
        <w:trPr>
          <w:cantSplit/>
        </w:trPr>
        <w:tc>
          <w:tcPr>
            <w:tcW w:w="2977" w:type="dxa"/>
            <w:tcBorders>
              <w:top w:val="single" w:sz="4" w:space="0" w:color="auto"/>
              <w:bottom w:val="nil"/>
              <w:right w:val="nil"/>
            </w:tcBorders>
          </w:tcPr>
          <w:p w:rsidR="000448A8" w:rsidRPr="00BE2203" w:rsidRDefault="000448A8" w:rsidP="00BE2203">
            <w:pPr>
              <w:pStyle w:val="Tabletext"/>
              <w:rPr>
                <w:sz w:val="18"/>
                <w:szCs w:val="18"/>
              </w:rPr>
            </w:pPr>
            <w:r w:rsidRPr="00BE2203">
              <w:rPr>
                <w:sz w:val="18"/>
                <w:szCs w:val="18"/>
              </w:rPr>
              <w:t xml:space="preserve">Contract completion rate </w:t>
            </w:r>
          </w:p>
        </w:tc>
        <w:tc>
          <w:tcPr>
            <w:tcW w:w="2835" w:type="dxa"/>
            <w:tcBorders>
              <w:top w:val="single" w:sz="4" w:space="0" w:color="auto"/>
              <w:left w:val="nil"/>
              <w:bottom w:val="nil"/>
              <w:right w:val="nil"/>
            </w:tcBorders>
          </w:tcPr>
          <w:p w:rsidR="000448A8" w:rsidRPr="00BE2203" w:rsidRDefault="000448A8" w:rsidP="00BE2203">
            <w:pPr>
              <w:pStyle w:val="Tabletext"/>
              <w:tabs>
                <w:tab w:val="decimal" w:pos="559"/>
              </w:tabs>
              <w:jc w:val="center"/>
              <w:rPr>
                <w:sz w:val="18"/>
                <w:szCs w:val="18"/>
              </w:rPr>
            </w:pPr>
            <w:r w:rsidRPr="00BE2203">
              <w:rPr>
                <w:sz w:val="18"/>
                <w:szCs w:val="18"/>
              </w:rPr>
              <w:t>2006</w:t>
            </w:r>
          </w:p>
        </w:tc>
        <w:tc>
          <w:tcPr>
            <w:tcW w:w="1488" w:type="dxa"/>
            <w:tcBorders>
              <w:top w:val="single" w:sz="4" w:space="0" w:color="auto"/>
              <w:left w:val="nil"/>
              <w:bottom w:val="nil"/>
              <w:right w:val="nil"/>
            </w:tcBorders>
          </w:tcPr>
          <w:p w:rsidR="000448A8" w:rsidRPr="00BE2203" w:rsidRDefault="000448A8" w:rsidP="00BE2203">
            <w:pPr>
              <w:pStyle w:val="Tabletext"/>
              <w:tabs>
                <w:tab w:val="right" w:pos="697"/>
              </w:tabs>
              <w:jc w:val="center"/>
              <w:rPr>
                <w:sz w:val="18"/>
                <w:szCs w:val="18"/>
              </w:rPr>
            </w:pPr>
            <w:r w:rsidRPr="00BE2203">
              <w:rPr>
                <w:sz w:val="18"/>
                <w:szCs w:val="18"/>
              </w:rPr>
              <w:t>45</w:t>
            </w:r>
          </w:p>
        </w:tc>
        <w:tc>
          <w:tcPr>
            <w:tcW w:w="1489" w:type="dxa"/>
            <w:tcBorders>
              <w:top w:val="single" w:sz="4" w:space="0" w:color="auto"/>
              <w:left w:val="nil"/>
              <w:bottom w:val="nil"/>
            </w:tcBorders>
          </w:tcPr>
          <w:p w:rsidR="000448A8" w:rsidRPr="00BE2203" w:rsidRDefault="000448A8" w:rsidP="00BE2203">
            <w:pPr>
              <w:pStyle w:val="Tabletext"/>
              <w:jc w:val="center"/>
              <w:rPr>
                <w:sz w:val="18"/>
                <w:szCs w:val="18"/>
              </w:rPr>
            </w:pPr>
            <w:r w:rsidRPr="00BE2203">
              <w:rPr>
                <w:sz w:val="18"/>
                <w:szCs w:val="18"/>
              </w:rPr>
              <w:t>53</w:t>
            </w:r>
          </w:p>
        </w:tc>
      </w:tr>
      <w:tr w:rsidR="000448A8" w:rsidTr="00BE2203">
        <w:trPr>
          <w:cantSplit/>
        </w:trPr>
        <w:tc>
          <w:tcPr>
            <w:tcW w:w="2977" w:type="dxa"/>
            <w:tcBorders>
              <w:top w:val="nil"/>
              <w:bottom w:val="nil"/>
              <w:right w:val="nil"/>
            </w:tcBorders>
          </w:tcPr>
          <w:p w:rsidR="000448A8" w:rsidRPr="00BE2203" w:rsidRDefault="000448A8" w:rsidP="00BE2203">
            <w:pPr>
              <w:pStyle w:val="Tabletext"/>
              <w:rPr>
                <w:sz w:val="18"/>
                <w:szCs w:val="18"/>
              </w:rPr>
            </w:pPr>
            <w:bookmarkStart w:id="12" w:name="_Hlk309376994"/>
            <w:r w:rsidRPr="00BE2203">
              <w:rPr>
                <w:sz w:val="18"/>
                <w:szCs w:val="18"/>
              </w:rPr>
              <w:t>Individual completion rate</w:t>
            </w:r>
          </w:p>
        </w:tc>
        <w:tc>
          <w:tcPr>
            <w:tcW w:w="2835" w:type="dxa"/>
            <w:tcBorders>
              <w:top w:val="nil"/>
              <w:left w:val="nil"/>
              <w:bottom w:val="nil"/>
              <w:right w:val="nil"/>
            </w:tcBorders>
          </w:tcPr>
          <w:p w:rsidR="000448A8" w:rsidRPr="00BE2203" w:rsidRDefault="000448A8" w:rsidP="00BE2203">
            <w:pPr>
              <w:pStyle w:val="Tabletext"/>
              <w:tabs>
                <w:tab w:val="decimal" w:pos="559"/>
              </w:tabs>
              <w:jc w:val="center"/>
              <w:rPr>
                <w:sz w:val="18"/>
                <w:szCs w:val="18"/>
              </w:rPr>
            </w:pPr>
            <w:r w:rsidRPr="00BE2203">
              <w:rPr>
                <w:sz w:val="18"/>
                <w:szCs w:val="18"/>
              </w:rPr>
              <w:t>2006</w:t>
            </w:r>
          </w:p>
        </w:tc>
        <w:tc>
          <w:tcPr>
            <w:tcW w:w="1488" w:type="dxa"/>
            <w:tcBorders>
              <w:top w:val="nil"/>
              <w:left w:val="nil"/>
              <w:bottom w:val="nil"/>
              <w:right w:val="nil"/>
            </w:tcBorders>
          </w:tcPr>
          <w:p w:rsidR="000448A8" w:rsidRPr="00BE2203" w:rsidRDefault="000448A8" w:rsidP="00BE2203">
            <w:pPr>
              <w:pStyle w:val="Tabletext"/>
              <w:tabs>
                <w:tab w:val="right" w:pos="697"/>
              </w:tabs>
              <w:jc w:val="center"/>
              <w:rPr>
                <w:sz w:val="18"/>
                <w:szCs w:val="18"/>
              </w:rPr>
            </w:pPr>
            <w:r w:rsidRPr="00BE2203">
              <w:rPr>
                <w:sz w:val="18"/>
                <w:szCs w:val="18"/>
              </w:rPr>
              <w:t>56</w:t>
            </w:r>
          </w:p>
        </w:tc>
        <w:tc>
          <w:tcPr>
            <w:tcW w:w="1489" w:type="dxa"/>
            <w:tcBorders>
              <w:top w:val="nil"/>
              <w:left w:val="nil"/>
              <w:bottom w:val="nil"/>
            </w:tcBorders>
          </w:tcPr>
          <w:p w:rsidR="000448A8" w:rsidRPr="00BE2203" w:rsidRDefault="000448A8" w:rsidP="00BE2203">
            <w:pPr>
              <w:pStyle w:val="Tabletext"/>
              <w:jc w:val="center"/>
              <w:rPr>
                <w:sz w:val="18"/>
                <w:szCs w:val="18"/>
              </w:rPr>
            </w:pPr>
            <w:r w:rsidRPr="00BE2203">
              <w:rPr>
                <w:sz w:val="18"/>
                <w:szCs w:val="18"/>
              </w:rPr>
              <w:t>54</w:t>
            </w:r>
          </w:p>
        </w:tc>
      </w:tr>
      <w:bookmarkEnd w:id="12"/>
      <w:tr w:rsidR="000448A8" w:rsidTr="00BE2203">
        <w:trPr>
          <w:cantSplit/>
        </w:trPr>
        <w:tc>
          <w:tcPr>
            <w:tcW w:w="2977" w:type="dxa"/>
            <w:tcBorders>
              <w:top w:val="nil"/>
              <w:bottom w:val="single" w:sz="4" w:space="0" w:color="auto"/>
              <w:right w:val="nil"/>
            </w:tcBorders>
          </w:tcPr>
          <w:p w:rsidR="000448A8" w:rsidRPr="00BE2203" w:rsidRDefault="000448A8" w:rsidP="00BE2203">
            <w:pPr>
              <w:pStyle w:val="Tabletext"/>
              <w:rPr>
                <w:sz w:val="18"/>
                <w:szCs w:val="18"/>
              </w:rPr>
            </w:pPr>
            <w:r w:rsidRPr="00BE2203">
              <w:rPr>
                <w:sz w:val="18"/>
                <w:szCs w:val="18"/>
              </w:rPr>
              <w:t>Projected contract completion rate</w:t>
            </w:r>
          </w:p>
        </w:tc>
        <w:tc>
          <w:tcPr>
            <w:tcW w:w="2835" w:type="dxa"/>
            <w:tcBorders>
              <w:top w:val="nil"/>
              <w:left w:val="nil"/>
              <w:bottom w:val="single" w:sz="4" w:space="0" w:color="auto"/>
              <w:right w:val="nil"/>
            </w:tcBorders>
          </w:tcPr>
          <w:p w:rsidR="000448A8" w:rsidRPr="00BE2203" w:rsidRDefault="000448A8" w:rsidP="00BE2203">
            <w:pPr>
              <w:pStyle w:val="Tabletext"/>
              <w:tabs>
                <w:tab w:val="decimal" w:pos="559"/>
              </w:tabs>
              <w:jc w:val="center"/>
              <w:rPr>
                <w:sz w:val="18"/>
                <w:szCs w:val="18"/>
              </w:rPr>
            </w:pPr>
            <w:r w:rsidRPr="00BE2203">
              <w:rPr>
                <w:sz w:val="18"/>
                <w:szCs w:val="18"/>
              </w:rPr>
              <w:t>December quarter 2010</w:t>
            </w:r>
          </w:p>
        </w:tc>
        <w:tc>
          <w:tcPr>
            <w:tcW w:w="1488" w:type="dxa"/>
            <w:tcBorders>
              <w:top w:val="nil"/>
              <w:left w:val="nil"/>
              <w:bottom w:val="single" w:sz="4" w:space="0" w:color="auto"/>
              <w:right w:val="nil"/>
            </w:tcBorders>
          </w:tcPr>
          <w:p w:rsidR="000448A8" w:rsidRPr="00BE2203" w:rsidRDefault="000448A8" w:rsidP="00BE2203">
            <w:pPr>
              <w:pStyle w:val="Tabletext"/>
              <w:tabs>
                <w:tab w:val="right" w:pos="697"/>
              </w:tabs>
              <w:jc w:val="center"/>
              <w:rPr>
                <w:sz w:val="18"/>
                <w:szCs w:val="18"/>
              </w:rPr>
            </w:pPr>
            <w:r w:rsidRPr="00BE2203">
              <w:rPr>
                <w:sz w:val="18"/>
                <w:szCs w:val="18"/>
              </w:rPr>
              <w:t>46</w:t>
            </w:r>
          </w:p>
        </w:tc>
        <w:tc>
          <w:tcPr>
            <w:tcW w:w="1489" w:type="dxa"/>
            <w:tcBorders>
              <w:top w:val="nil"/>
              <w:left w:val="nil"/>
              <w:bottom w:val="single" w:sz="4" w:space="0" w:color="auto"/>
            </w:tcBorders>
          </w:tcPr>
          <w:p w:rsidR="000448A8" w:rsidRPr="00BE2203" w:rsidRDefault="000448A8" w:rsidP="00BE2203">
            <w:pPr>
              <w:pStyle w:val="Tabletext"/>
              <w:jc w:val="center"/>
              <w:rPr>
                <w:sz w:val="18"/>
                <w:szCs w:val="18"/>
              </w:rPr>
            </w:pPr>
            <w:r w:rsidRPr="00BE2203">
              <w:rPr>
                <w:sz w:val="18"/>
                <w:szCs w:val="18"/>
              </w:rPr>
              <w:t>60</w:t>
            </w:r>
          </w:p>
        </w:tc>
      </w:tr>
    </w:tbl>
    <w:p w:rsidR="000448A8" w:rsidRDefault="000448A8" w:rsidP="000448A8">
      <w:pPr>
        <w:pStyle w:val="Source"/>
      </w:pPr>
      <w:r>
        <w:t>Source:</w:t>
      </w:r>
      <w:r>
        <w:tab/>
      </w:r>
      <w:r w:rsidRPr="00096614">
        <w:t>NCVER</w:t>
      </w:r>
      <w:r>
        <w:t xml:space="preserve"> (2011a).</w:t>
      </w:r>
    </w:p>
    <w:p w:rsidR="009E5EB8" w:rsidRDefault="009E5EB8"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You might be wondering, given the variety of rates available for apprentices and trainees, which rate should you use? Individual completion rates account for employer switching, but a drawback is that the most recent rates available will be for students who commenced four years ago. If you need up-to-date information, your best option is the projected contract completion rate. These give a prediction of the contract completion rate for much more recent time periods. The latest projected contract completion rate is for the December quarter 2010, whereas the latest contract or individual completion rate is only for 2006. The projected contract completion rates have been validated using historical data, and the predicted values were found to be very close to observed values (Karmel &amp; Mlotkowski 2010a). </w:t>
      </w:r>
    </w:p>
    <w:p w:rsidR="00BE2203" w:rsidRPr="00BE2203"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The completion rates given in table 5 are average rates; these rates vary considerably by occupation. For example, contract completion rates for students commencing in 2006 range from 27% for food trades workers, through to 64% for carers and aides, while individual completion rates range from 30% for food preparation assistants, through to 67% for carers and aides and electrotechnology and telecommunications trades workers</w:t>
      </w:r>
      <w:r w:rsidR="00146E53">
        <w:rPr>
          <w:rFonts w:asciiTheme="minorHAnsi" w:hAnsiTheme="minorHAnsi"/>
          <w:sz w:val="24"/>
          <w:szCs w:val="24"/>
        </w:rPr>
        <w:t xml:space="preserve"> (NCVER 2011a)</w:t>
      </w:r>
      <w:r w:rsidRPr="00BE2203">
        <w:rPr>
          <w:rFonts w:asciiTheme="minorHAnsi" w:hAnsiTheme="minorHAnsi"/>
          <w:sz w:val="24"/>
          <w:szCs w:val="24"/>
        </w:rPr>
        <w:t>. In the next section, we look at the pay-off from completion of a VET qualification.</w:t>
      </w:r>
    </w:p>
    <w:p w:rsidR="003929B1" w:rsidRDefault="003929B1" w:rsidP="000448A8">
      <w:pPr>
        <w:spacing w:after="0" w:line="240" w:lineRule="auto"/>
        <w:rPr>
          <w:b/>
          <w:sz w:val="24"/>
          <w:szCs w:val="24"/>
        </w:rPr>
      </w:pPr>
      <w:bookmarkStart w:id="13" w:name="_Toc309043804"/>
    </w:p>
    <w:p w:rsidR="000448A8" w:rsidRPr="000448A8" w:rsidRDefault="000448A8" w:rsidP="000448A8">
      <w:pPr>
        <w:spacing w:after="0" w:line="240" w:lineRule="auto"/>
        <w:rPr>
          <w:b/>
          <w:sz w:val="24"/>
          <w:szCs w:val="24"/>
        </w:rPr>
      </w:pPr>
      <w:r w:rsidRPr="000448A8">
        <w:rPr>
          <w:b/>
          <w:sz w:val="24"/>
          <w:szCs w:val="24"/>
        </w:rPr>
        <w:t>The value of completing a VET qualification</w:t>
      </w:r>
      <w:bookmarkEnd w:id="13"/>
    </w:p>
    <w:p w:rsidR="00BE2203" w:rsidRDefault="00BE2203" w:rsidP="00BE2203">
      <w:pPr>
        <w:pStyle w:val="Text"/>
        <w:spacing w:before="0" w:line="240" w:lineRule="auto"/>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Recent work by Karmel and Fieger (forthcoming) finds that completing a qualification is of more benefit for some groups of students than others. Using data from NCVER’s Student Outcomes Survey (NCVER 2010b), the authors run separate models for various outcomes, such as the probability of employment after training for completers and non-completers. This enables a ‘pay-off function’ to be devised by comparing the probabilities for the same student conditional on (i) completing and (ii) not completing. Other outcomes considered include the likelihood of improved salary, going on to further study and occupational status. </w:t>
      </w:r>
    </w:p>
    <w:p w:rsidR="00BE2203" w:rsidRPr="00BE2203"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In general, the pay-offs are positive, but the size of the pay-off is much larger for some groups of students than others. Consider the outcome of ‘employment after training’. Karmel and Fieger (forthcoming) find that those who complete are around 22% more likely to be employed after training than those who don’t complete. However, this varies according to prior employment status. For those students who were not in the labour force before training, the pay-off rises to 108%, while for those students who were employed before training, the pay-off is only 3%.</w:t>
      </w:r>
    </w:p>
    <w:p w:rsidR="00BE2203" w:rsidRPr="00BE2203"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Another key finding is that completion does not have a positive pay-off for every student vis-a-vis every outcome variable. When it comes to being in further study, completion has a high pay-off for everyone, regardless of prior employment status, and is pa</w:t>
      </w:r>
      <w:r w:rsidR="00816B46">
        <w:rPr>
          <w:rFonts w:asciiTheme="minorHAnsi" w:hAnsiTheme="minorHAnsi"/>
          <w:sz w:val="24"/>
          <w:szCs w:val="24"/>
        </w:rPr>
        <w:t>rticularly high for certificate</w:t>
      </w:r>
      <w:r w:rsidRPr="00BE2203">
        <w:rPr>
          <w:rFonts w:asciiTheme="minorHAnsi" w:hAnsiTheme="minorHAnsi"/>
          <w:sz w:val="24"/>
          <w:szCs w:val="24"/>
        </w:rPr>
        <w:t xml:space="preserve"> I/II students. However, when it comes to wages, only around 61% of students can expect higher wages upon completion. Similarly, only around 59% of students have a positive pay-off in relation to improved occupational status after training.</w:t>
      </w:r>
    </w:p>
    <w:p w:rsidR="00BE2203" w:rsidRPr="00BE2203"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The authors conclude that completion is particularly important for those not employed before training (if the objective is employment after training and higher wages), for certificates I/II (if the objective is further study), and for diplomas and above (if the objective is higher wages). They recommend that it is particularly important to calculate completion rates for these groups.</w:t>
      </w:r>
    </w:p>
    <w:p w:rsidR="00BE2203" w:rsidRPr="00BE2203"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Polidano and Mavromaras (2010) also find that the value of completing varies for different groups. Using data from the Household, Income and Labour Dynamics in Australia (HILDA) surveys, they find that completing a VET qualification provides no further employment benefits for those already employed, but that it significantly increases the likelihood of subsequent employment for those who are not working.</w:t>
      </w:r>
    </w:p>
    <w:p w:rsidR="00BE2203" w:rsidRPr="00BE2203" w:rsidRDefault="00BE2203" w:rsidP="00B37119">
      <w:pPr>
        <w:pStyle w:val="Text"/>
        <w:spacing w:before="0" w:line="240" w:lineRule="auto"/>
        <w:jc w:val="both"/>
        <w:rPr>
          <w:rFonts w:asciiTheme="minorHAnsi" w:hAnsiTheme="minorHAnsi"/>
          <w:sz w:val="24"/>
          <w:szCs w:val="24"/>
        </w:rPr>
      </w:pPr>
    </w:p>
    <w:p w:rsidR="000448A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The employment benefits are even greater for unemployed individuals with a disability. Polidano and Mavromaras (2010) find that for an average person who is out of work and has a disability, completing a VET qualification is estimated to increase their probability of employment from 9% to 29% in their first year after completion</w:t>
      </w:r>
      <w:r w:rsidR="004A3751">
        <w:rPr>
          <w:rFonts w:asciiTheme="minorHAnsi" w:hAnsiTheme="minorHAnsi"/>
          <w:sz w:val="24"/>
          <w:szCs w:val="24"/>
        </w:rPr>
        <w:t xml:space="preserve">. In other words, the probability of employment triples. </w:t>
      </w:r>
      <w:r w:rsidRPr="00BE2203">
        <w:rPr>
          <w:rFonts w:asciiTheme="minorHAnsi" w:hAnsiTheme="minorHAnsi"/>
          <w:sz w:val="24"/>
          <w:szCs w:val="24"/>
        </w:rPr>
        <w:t xml:space="preserve">On the other hand, for an average person </w:t>
      </w:r>
      <w:r w:rsidR="009E5EB8">
        <w:rPr>
          <w:rFonts w:asciiTheme="minorHAnsi" w:hAnsiTheme="minorHAnsi"/>
          <w:sz w:val="24"/>
          <w:szCs w:val="24"/>
        </w:rPr>
        <w:t xml:space="preserve">without a disability </w:t>
      </w:r>
      <w:r w:rsidRPr="00BE2203">
        <w:rPr>
          <w:rFonts w:asciiTheme="minorHAnsi" w:hAnsiTheme="minorHAnsi"/>
          <w:sz w:val="24"/>
          <w:szCs w:val="24"/>
        </w:rPr>
        <w:t xml:space="preserve">who is out of work, completing a VET qualification is estimated to increase their probability of employment from 52% to 62% in their first year after completion — a more modest improvement of 20%. </w:t>
      </w:r>
    </w:p>
    <w:p w:rsidR="00BE2203" w:rsidRPr="00BE2203" w:rsidRDefault="00BE2203" w:rsidP="00BE2203">
      <w:pPr>
        <w:pStyle w:val="Text"/>
        <w:spacing w:before="0" w:line="240" w:lineRule="auto"/>
        <w:rPr>
          <w:rFonts w:asciiTheme="minorHAnsi" w:hAnsiTheme="minorHAnsi"/>
          <w:sz w:val="24"/>
          <w:szCs w:val="24"/>
        </w:rPr>
      </w:pPr>
    </w:p>
    <w:p w:rsidR="000448A8" w:rsidRDefault="000448A8" w:rsidP="000448A8">
      <w:pPr>
        <w:spacing w:after="0" w:line="240" w:lineRule="auto"/>
        <w:rPr>
          <w:b/>
          <w:sz w:val="24"/>
          <w:szCs w:val="24"/>
        </w:rPr>
      </w:pPr>
      <w:bookmarkStart w:id="14" w:name="_Toc309043805"/>
      <w:r w:rsidRPr="000448A8">
        <w:rPr>
          <w:b/>
          <w:sz w:val="24"/>
          <w:szCs w:val="24"/>
        </w:rPr>
        <w:t>Value of completing an apprenticeship or traineeship</w:t>
      </w:r>
      <w:bookmarkEnd w:id="14"/>
    </w:p>
    <w:p w:rsidR="00BE2203" w:rsidRPr="000448A8" w:rsidRDefault="00BE2203" w:rsidP="000448A8">
      <w:pPr>
        <w:spacing w:after="0" w:line="240" w:lineRule="auto"/>
        <w:rPr>
          <w:b/>
          <w:sz w:val="24"/>
          <w:szCs w:val="24"/>
        </w:rPr>
      </w:pPr>
    </w:p>
    <w:p w:rsidR="009E5EB8"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What about the value of completing an apprenticeship or traineeship? For those studying a trade, the monetary reward of completing their apprenticeship is substantial, with the average annual income for trade apprentices in 2010 jumping from $36 600 during the last week of their apprenticeship, to $52 500 upon completion (NCVER 2010a). Looking at individual occupations within the trades, all enjoy substantial pay increases on completion, except for hairdressers. The pay rise ranges from only $630 for hairdressers, up to $23 000 for electrotechnology and telecommunications (Karmel &amp; Mlotkowski 2010b). </w:t>
      </w:r>
    </w:p>
    <w:p w:rsidR="009E5EB8" w:rsidRDefault="009E5EB8" w:rsidP="00B37119">
      <w:pPr>
        <w:pStyle w:val="Text"/>
        <w:spacing w:before="0" w:line="240" w:lineRule="auto"/>
        <w:jc w:val="both"/>
        <w:rPr>
          <w:rFonts w:asciiTheme="minorHAnsi" w:hAnsiTheme="minorHAnsi"/>
          <w:sz w:val="24"/>
          <w:szCs w:val="24"/>
        </w:rPr>
      </w:pPr>
    </w:p>
    <w:p w:rsidR="000448A8" w:rsidRPr="00BE2203" w:rsidRDefault="000448A8" w:rsidP="00B37119">
      <w:pPr>
        <w:pStyle w:val="Text"/>
        <w:spacing w:before="0" w:line="240" w:lineRule="auto"/>
        <w:jc w:val="both"/>
        <w:rPr>
          <w:rFonts w:asciiTheme="minorHAnsi" w:hAnsiTheme="minorHAnsi"/>
          <w:sz w:val="24"/>
          <w:szCs w:val="24"/>
        </w:rPr>
      </w:pPr>
      <w:r w:rsidRPr="00BE2203">
        <w:rPr>
          <w:rFonts w:asciiTheme="minorHAnsi" w:hAnsiTheme="minorHAnsi"/>
          <w:sz w:val="24"/>
          <w:szCs w:val="24"/>
        </w:rPr>
        <w:t xml:space="preserve">For non-trade occupations, the pay rise associated with completing is far more modest — the average annual income for non-trade occupations in 2010 moves from $40 700 during the last week of training to around $45 900 upon completion (NCVER 2010a). There are even some non-trade occupations for which there is a negative pay-off associated with completion. For example, sales workers who complete earn, on average, $4000—5000 </w:t>
      </w:r>
      <w:r w:rsidRPr="0068471F">
        <w:rPr>
          <w:rFonts w:asciiTheme="minorHAnsi" w:hAnsiTheme="minorHAnsi"/>
          <w:i/>
          <w:sz w:val="24"/>
          <w:szCs w:val="24"/>
        </w:rPr>
        <w:t>less</w:t>
      </w:r>
      <w:r w:rsidRPr="00BE2203">
        <w:rPr>
          <w:rFonts w:asciiTheme="minorHAnsi" w:hAnsiTheme="minorHAnsi"/>
          <w:sz w:val="24"/>
          <w:szCs w:val="24"/>
        </w:rPr>
        <w:t xml:space="preserve"> than those who don’t complete (Karmel &amp; Mlotkowski 2010b). These findings show that not everyone who completes an apprenticeship or traineeship will be rewarded with a higher income and bring into question the value of the training for occupations with a negative payoff (Karmel &amp; Mlotkowski 2010b).</w:t>
      </w:r>
    </w:p>
    <w:p w:rsidR="00BE2203" w:rsidRDefault="00BE2203" w:rsidP="00BE2203">
      <w:pPr>
        <w:pStyle w:val="Text"/>
        <w:spacing w:before="0" w:line="240" w:lineRule="auto"/>
        <w:rPr>
          <w:b/>
          <w:sz w:val="24"/>
          <w:szCs w:val="24"/>
        </w:rPr>
      </w:pPr>
      <w:bookmarkStart w:id="15" w:name="_Toc456000800"/>
      <w:bookmarkStart w:id="16" w:name="_Toc457122465"/>
      <w:bookmarkStart w:id="17" w:name="_Toc188077643"/>
      <w:bookmarkStart w:id="18" w:name="_Toc309043806"/>
    </w:p>
    <w:p w:rsidR="000448A8" w:rsidRDefault="000448A8" w:rsidP="00BE2203">
      <w:pPr>
        <w:pStyle w:val="Text"/>
        <w:spacing w:before="0" w:line="240" w:lineRule="auto"/>
        <w:rPr>
          <w:b/>
          <w:sz w:val="24"/>
          <w:szCs w:val="24"/>
        </w:rPr>
      </w:pPr>
      <w:r w:rsidRPr="000448A8">
        <w:rPr>
          <w:b/>
          <w:sz w:val="24"/>
          <w:szCs w:val="24"/>
        </w:rPr>
        <w:t>References</w:t>
      </w:r>
      <w:bookmarkEnd w:id="15"/>
      <w:bookmarkEnd w:id="16"/>
      <w:bookmarkEnd w:id="17"/>
      <w:bookmarkEnd w:id="18"/>
    </w:p>
    <w:p w:rsidR="000448A8" w:rsidRPr="000448A8" w:rsidRDefault="000448A8" w:rsidP="000448A8">
      <w:pPr>
        <w:spacing w:after="0" w:line="240" w:lineRule="auto"/>
        <w:rPr>
          <w:b/>
          <w:sz w:val="24"/>
          <w:szCs w:val="24"/>
        </w:rPr>
      </w:pP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Harvey, B 2010a, </w:t>
      </w:r>
      <w:r w:rsidRPr="000448A8">
        <w:rPr>
          <w:rFonts w:asciiTheme="minorHAnsi" w:hAnsiTheme="minorHAnsi"/>
          <w:i/>
          <w:sz w:val="24"/>
          <w:szCs w:val="24"/>
        </w:rPr>
        <w:t>Apprentice and trainee statistics: estimation of contract completion and attrition rates</w:t>
      </w:r>
      <w:r w:rsidRPr="000448A8">
        <w:rPr>
          <w:rFonts w:asciiTheme="minorHAnsi" w:hAnsiTheme="minorHAnsi"/>
          <w:sz w:val="24"/>
          <w:szCs w:val="24"/>
        </w:rPr>
        <w:t>, NCVER, Adelaide, viewed 8 December 2011, &lt;http://</w:t>
      </w:r>
      <w:hyperlink r:id="rId9" w:history="1">
        <w:r w:rsidRPr="000448A8">
          <w:rPr>
            <w:rFonts w:asciiTheme="minorHAnsi" w:hAnsiTheme="minorHAnsi"/>
            <w:sz w:val="24"/>
            <w:szCs w:val="24"/>
          </w:rPr>
          <w:t>www.ncver.edu.au/publications/2388.html</w:t>
        </w:r>
      </w:hyperlink>
      <w:r w:rsidRPr="000448A8">
        <w:rPr>
          <w:rFonts w:asciiTheme="minorHAnsi" w:hAnsiTheme="minorHAnsi"/>
          <w:sz w:val="24"/>
          <w:szCs w:val="24"/>
        </w:rPr>
        <w:t>&gt;.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——2010b, </w:t>
      </w:r>
      <w:r w:rsidRPr="000448A8">
        <w:rPr>
          <w:rFonts w:asciiTheme="minorHAnsi" w:hAnsiTheme="minorHAnsi"/>
          <w:i/>
          <w:sz w:val="24"/>
          <w:szCs w:val="24"/>
        </w:rPr>
        <w:t>Estimation of apprentice and trainee statistics</w:t>
      </w:r>
      <w:r w:rsidRPr="000448A8">
        <w:rPr>
          <w:rFonts w:asciiTheme="minorHAnsi" w:hAnsiTheme="minorHAnsi"/>
          <w:sz w:val="24"/>
          <w:szCs w:val="24"/>
        </w:rPr>
        <w:t xml:space="preserve">, NCVER, Adelaide, viewed 8 December 2011, &lt;http://www.ncver.edu.au/publications/2267.html&gt;. </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Karmel, T 2011, </w:t>
      </w:r>
      <w:r w:rsidRPr="000448A8">
        <w:rPr>
          <w:rFonts w:asciiTheme="minorHAnsi" w:hAnsiTheme="minorHAnsi"/>
          <w:i/>
          <w:sz w:val="24"/>
          <w:szCs w:val="24"/>
        </w:rPr>
        <w:t>Individual-based completion rates for apprentices</w:t>
      </w:r>
      <w:r w:rsidRPr="000448A8">
        <w:rPr>
          <w:rFonts w:asciiTheme="minorHAnsi" w:hAnsiTheme="minorHAnsi"/>
          <w:sz w:val="24"/>
          <w:szCs w:val="24"/>
        </w:rPr>
        <w:t>, NCVER, Adelaide, viewed 8 December 2011, &lt;</w:t>
      </w:r>
      <w:hyperlink r:id="rId10" w:history="1">
        <w:r w:rsidRPr="000448A8">
          <w:rPr>
            <w:rFonts w:asciiTheme="minorHAnsi" w:hAnsiTheme="minorHAnsi"/>
            <w:sz w:val="24"/>
            <w:szCs w:val="24"/>
          </w:rPr>
          <w:t>http://www.ncver.edu.au/publications/2357.html</w:t>
        </w:r>
      </w:hyperlink>
      <w:r w:rsidRPr="000448A8">
        <w:rPr>
          <w:rFonts w:asciiTheme="minorHAnsi" w:hAnsiTheme="minorHAnsi"/>
          <w:sz w:val="24"/>
          <w:szCs w:val="24"/>
        </w:rPr>
        <w:t>&gt;.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Karmel, T &amp; Fieger, P (forthcoming), </w:t>
      </w:r>
      <w:r w:rsidRPr="000448A8">
        <w:rPr>
          <w:rFonts w:asciiTheme="minorHAnsi" w:hAnsiTheme="minorHAnsi"/>
          <w:i/>
          <w:sz w:val="24"/>
          <w:szCs w:val="24"/>
        </w:rPr>
        <w:t>The value of completion of a VET qualification</w:t>
      </w:r>
      <w:r w:rsidRPr="000448A8">
        <w:rPr>
          <w:rFonts w:asciiTheme="minorHAnsi" w:hAnsiTheme="minorHAnsi"/>
          <w:sz w:val="24"/>
          <w:szCs w:val="24"/>
        </w:rPr>
        <w:t>, NCVER, Adelaide.</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Karmel, T &amp; Mlotkowski, P 2010a, </w:t>
      </w:r>
      <w:r w:rsidRPr="000448A8">
        <w:rPr>
          <w:rFonts w:asciiTheme="minorHAnsi" w:hAnsiTheme="minorHAnsi"/>
          <w:i/>
          <w:sz w:val="24"/>
          <w:szCs w:val="24"/>
        </w:rPr>
        <w:t>Estimating apprentice and trainee completion and attrition rates using a ‘life tables’ approach</w:t>
      </w:r>
      <w:r w:rsidRPr="000448A8">
        <w:rPr>
          <w:rFonts w:asciiTheme="minorHAnsi" w:hAnsiTheme="minorHAnsi"/>
          <w:sz w:val="24"/>
          <w:szCs w:val="24"/>
        </w:rPr>
        <w:t>, NCVER, Adelaide, viewed 8 December 2011, &lt;http://www.ncver.edu.au/ publications/2389.html&gt;.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——2010b, </w:t>
      </w:r>
      <w:r w:rsidRPr="000448A8">
        <w:rPr>
          <w:rFonts w:asciiTheme="minorHAnsi" w:hAnsiTheme="minorHAnsi"/>
          <w:i/>
          <w:sz w:val="24"/>
          <w:szCs w:val="24"/>
        </w:rPr>
        <w:t>The impact of wages on the probability of completing an apprenticeship or traineeship</w:t>
      </w:r>
      <w:r w:rsidRPr="000448A8">
        <w:rPr>
          <w:rFonts w:asciiTheme="minorHAnsi" w:hAnsiTheme="minorHAnsi"/>
          <w:sz w:val="24"/>
          <w:szCs w:val="24"/>
        </w:rPr>
        <w:t>, NCVER, Adelaide, viewed 8 December 2011, &lt;http://www.ncver.edu.au/publications/2277.html&gt;.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Mark, K &amp; Karmel, T 2010, </w:t>
      </w:r>
      <w:r w:rsidRPr="000448A8">
        <w:rPr>
          <w:rFonts w:asciiTheme="minorHAnsi" w:hAnsiTheme="minorHAnsi"/>
          <w:i/>
          <w:sz w:val="24"/>
          <w:szCs w:val="24"/>
        </w:rPr>
        <w:t>The likelihood of completing a VET qualification: a model-based approach</w:t>
      </w:r>
      <w:r w:rsidRPr="000448A8">
        <w:rPr>
          <w:rFonts w:asciiTheme="minorHAnsi" w:hAnsiTheme="minorHAnsi"/>
          <w:sz w:val="24"/>
          <w:szCs w:val="24"/>
        </w:rPr>
        <w:t>, NCVER, Adelaide, viewed 8 December 2011, &lt;http://www.ncver.edu.au/publications/2272.html&gt;.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NCVER (National Centre for Vocational Education Research) 2010a, </w:t>
      </w:r>
      <w:r w:rsidRPr="000448A8">
        <w:rPr>
          <w:rFonts w:asciiTheme="minorHAnsi" w:hAnsiTheme="minorHAnsi"/>
          <w:i/>
          <w:sz w:val="24"/>
          <w:szCs w:val="24"/>
        </w:rPr>
        <w:t>Australian vocational education and training statistics: apprentice and trainee destinations 2010</w:t>
      </w:r>
      <w:r w:rsidRPr="000448A8">
        <w:rPr>
          <w:rFonts w:asciiTheme="minorHAnsi" w:hAnsiTheme="minorHAnsi"/>
          <w:sz w:val="24"/>
          <w:szCs w:val="24"/>
        </w:rPr>
        <w:t>, NCVER, Adelaide, viewed 8 December 2011, &lt;</w:t>
      </w:r>
      <w:hyperlink r:id="rId11" w:history="1">
        <w:r w:rsidRPr="000448A8">
          <w:rPr>
            <w:rFonts w:asciiTheme="minorHAnsi" w:hAnsiTheme="minorHAnsi"/>
            <w:sz w:val="24"/>
            <w:szCs w:val="24"/>
          </w:rPr>
          <w:t>http://www.ncver.edu.au/publications/2262.html</w:t>
        </w:r>
      </w:hyperlink>
      <w:r w:rsidRPr="000448A8">
        <w:rPr>
          <w:rFonts w:asciiTheme="minorHAnsi" w:hAnsiTheme="minorHAnsi"/>
          <w:sz w:val="24"/>
          <w:szCs w:val="24"/>
        </w:rPr>
        <w:t>&gt;.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——2010b, </w:t>
      </w:r>
      <w:r w:rsidRPr="000448A8">
        <w:rPr>
          <w:rFonts w:asciiTheme="minorHAnsi" w:hAnsiTheme="minorHAnsi"/>
          <w:i/>
          <w:sz w:val="24"/>
          <w:szCs w:val="24"/>
        </w:rPr>
        <w:t>Australian vocational education and training statistics: student outcomes 2010</w:t>
      </w:r>
      <w:r w:rsidRPr="000448A8">
        <w:rPr>
          <w:rFonts w:asciiTheme="minorHAnsi" w:hAnsiTheme="minorHAnsi"/>
          <w:sz w:val="24"/>
          <w:szCs w:val="24"/>
        </w:rPr>
        <w:t>, NCVER, Adelaide, viewed 8 December 2011, &lt;</w:t>
      </w:r>
      <w:hyperlink r:id="rId12" w:history="1">
        <w:r w:rsidRPr="000448A8">
          <w:rPr>
            <w:rFonts w:asciiTheme="minorHAnsi" w:hAnsiTheme="minorHAnsi"/>
            <w:sz w:val="24"/>
            <w:szCs w:val="24"/>
          </w:rPr>
          <w:t>http://www.ncver.edu.au/publications/2315.html</w:t>
        </w:r>
      </w:hyperlink>
      <w:r w:rsidRPr="000448A8">
        <w:rPr>
          <w:rFonts w:asciiTheme="minorHAnsi" w:hAnsiTheme="minorHAnsi"/>
          <w:sz w:val="24"/>
          <w:szCs w:val="24"/>
        </w:rPr>
        <w:t>&gt;.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——2011a, </w:t>
      </w:r>
      <w:r w:rsidRPr="000448A8">
        <w:rPr>
          <w:rFonts w:asciiTheme="minorHAnsi" w:hAnsiTheme="minorHAnsi"/>
          <w:i/>
          <w:sz w:val="24"/>
          <w:szCs w:val="24"/>
        </w:rPr>
        <w:t>Australian vocational education and training statistics: completion and attrition rates for apprentices and trainees 2010</w:t>
      </w:r>
      <w:r w:rsidRPr="000448A8">
        <w:rPr>
          <w:rFonts w:asciiTheme="minorHAnsi" w:hAnsiTheme="minorHAnsi"/>
          <w:sz w:val="24"/>
          <w:szCs w:val="24"/>
        </w:rPr>
        <w:t>, NCVER, Adelaide, viewed 8 December 2011, &lt;</w:t>
      </w:r>
      <w:hyperlink r:id="rId13" w:history="1">
        <w:r w:rsidRPr="000448A8">
          <w:rPr>
            <w:rStyle w:val="Hyperlink"/>
            <w:rFonts w:asciiTheme="minorHAnsi" w:hAnsiTheme="minorHAnsi"/>
            <w:sz w:val="24"/>
            <w:szCs w:val="24"/>
          </w:rPr>
          <w:t>http://www.ncver.edu.au/ publications/2403.html</w:t>
        </w:r>
      </w:hyperlink>
      <w:r w:rsidRPr="000448A8">
        <w:rPr>
          <w:rFonts w:asciiTheme="minorHAnsi" w:hAnsiTheme="minorHAnsi"/>
          <w:sz w:val="24"/>
          <w:szCs w:val="24"/>
        </w:rPr>
        <w:t>&gt;.</w:t>
      </w:r>
    </w:p>
    <w:p w:rsidR="000448A8" w:rsidRPr="000448A8" w:rsidRDefault="000448A8" w:rsidP="00B37119">
      <w:pPr>
        <w:pStyle w:val="References"/>
        <w:spacing w:before="0"/>
        <w:rPr>
          <w:rFonts w:asciiTheme="minorHAnsi" w:hAnsiTheme="minorHAnsi"/>
          <w:sz w:val="24"/>
          <w:szCs w:val="24"/>
        </w:rPr>
      </w:pPr>
      <w:r w:rsidRPr="000448A8">
        <w:rPr>
          <w:rFonts w:asciiTheme="minorHAnsi" w:hAnsiTheme="minorHAnsi"/>
          <w:sz w:val="24"/>
          <w:szCs w:val="24"/>
        </w:rPr>
        <w:t xml:space="preserve">——2011b, </w:t>
      </w:r>
      <w:r w:rsidRPr="000448A8">
        <w:rPr>
          <w:rFonts w:asciiTheme="minorHAnsi" w:hAnsiTheme="minorHAnsi"/>
          <w:i/>
          <w:sz w:val="24"/>
          <w:szCs w:val="24"/>
        </w:rPr>
        <w:t>Australian vocational education and training statistics: the likelihood of completing a VET qualification 2005—08</w:t>
      </w:r>
      <w:r w:rsidRPr="000448A8">
        <w:rPr>
          <w:rFonts w:asciiTheme="minorHAnsi" w:hAnsiTheme="minorHAnsi"/>
          <w:sz w:val="24"/>
          <w:szCs w:val="24"/>
        </w:rPr>
        <w:t>, NCVER, Adelaide, viewed 8 December 2011, &lt;</w:t>
      </w:r>
      <w:hyperlink r:id="rId14" w:history="1">
        <w:r w:rsidRPr="000448A8">
          <w:rPr>
            <w:rStyle w:val="Hyperlink"/>
            <w:rFonts w:asciiTheme="minorHAnsi" w:hAnsiTheme="minorHAnsi"/>
            <w:sz w:val="24"/>
            <w:szCs w:val="24"/>
          </w:rPr>
          <w:t>http://www.ncver.edu.au/ publications/2423.html</w:t>
        </w:r>
      </w:hyperlink>
      <w:r w:rsidRPr="000448A8">
        <w:rPr>
          <w:rFonts w:asciiTheme="minorHAnsi" w:hAnsiTheme="minorHAnsi"/>
          <w:sz w:val="24"/>
          <w:szCs w:val="24"/>
        </w:rPr>
        <w:t>&gt;.</w:t>
      </w:r>
    </w:p>
    <w:p w:rsidR="002E54DC" w:rsidRPr="000448A8" w:rsidRDefault="000448A8" w:rsidP="00B37119">
      <w:pPr>
        <w:spacing w:after="0"/>
        <w:rPr>
          <w:b/>
          <w:sz w:val="24"/>
          <w:szCs w:val="24"/>
        </w:rPr>
      </w:pPr>
      <w:r w:rsidRPr="000448A8">
        <w:rPr>
          <w:sz w:val="24"/>
          <w:szCs w:val="24"/>
        </w:rPr>
        <w:t xml:space="preserve">Polidano, C &amp; Mavromaras, K 2010, </w:t>
      </w:r>
      <w:r w:rsidRPr="000448A8">
        <w:rPr>
          <w:i/>
          <w:sz w:val="24"/>
          <w:szCs w:val="24"/>
        </w:rPr>
        <w:t>The role of vocational education and training in the labour market outcomes of people with disabilities</w:t>
      </w:r>
      <w:r w:rsidRPr="000448A8">
        <w:rPr>
          <w:sz w:val="24"/>
          <w:szCs w:val="24"/>
        </w:rPr>
        <w:t>, NCVER, Adelaide, viewed 8 December 2011, &lt;</w:t>
      </w:r>
      <w:hyperlink r:id="rId15" w:history="1">
        <w:r w:rsidRPr="000448A8">
          <w:rPr>
            <w:sz w:val="24"/>
            <w:szCs w:val="24"/>
          </w:rPr>
          <w:t>http://www.ncver.edu.au/publications/2215.html</w:t>
        </w:r>
      </w:hyperlink>
      <w:r w:rsidR="00A0181A">
        <w:t>.</w:t>
      </w:r>
    </w:p>
    <w:sectPr w:rsidR="002E54DC" w:rsidRPr="000448A8" w:rsidSect="00504AEC">
      <w:footerReference w:type="defaul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E5" w:rsidRDefault="001063E5" w:rsidP="00B37119">
      <w:pPr>
        <w:spacing w:after="0" w:line="240" w:lineRule="auto"/>
      </w:pPr>
      <w:r>
        <w:separator/>
      </w:r>
    </w:p>
  </w:endnote>
  <w:endnote w:type="continuationSeparator" w:id="0">
    <w:p w:rsidR="001063E5" w:rsidRDefault="001063E5" w:rsidP="00B3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5876"/>
      <w:docPartObj>
        <w:docPartGallery w:val="Page Numbers (Bottom of Page)"/>
        <w:docPartUnique/>
      </w:docPartObj>
    </w:sdtPr>
    <w:sdtEndPr/>
    <w:sdtContent>
      <w:p w:rsidR="001063E5" w:rsidRDefault="006065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063E5" w:rsidRDefault="0010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E5" w:rsidRDefault="001063E5" w:rsidP="00B37119">
      <w:pPr>
        <w:spacing w:after="0" w:line="240" w:lineRule="auto"/>
      </w:pPr>
      <w:r>
        <w:separator/>
      </w:r>
    </w:p>
  </w:footnote>
  <w:footnote w:type="continuationSeparator" w:id="0">
    <w:p w:rsidR="001063E5" w:rsidRDefault="001063E5" w:rsidP="00B37119">
      <w:pPr>
        <w:spacing w:after="0" w:line="240" w:lineRule="auto"/>
      </w:pPr>
      <w:r>
        <w:continuationSeparator/>
      </w:r>
    </w:p>
  </w:footnote>
  <w:footnote w:id="1">
    <w:p w:rsidR="005229F5" w:rsidRPr="005229F5" w:rsidRDefault="005229F5" w:rsidP="005229F5">
      <w:pPr>
        <w:pStyle w:val="Text"/>
        <w:spacing w:before="0" w:line="240" w:lineRule="auto"/>
        <w:jc w:val="both"/>
        <w:rPr>
          <w:rFonts w:asciiTheme="minorHAnsi" w:hAnsiTheme="minorHAnsi"/>
          <w:sz w:val="24"/>
          <w:szCs w:val="24"/>
        </w:rPr>
      </w:pPr>
      <w:r>
        <w:rPr>
          <w:rStyle w:val="FootnoteReference"/>
          <w:rFonts w:asciiTheme="minorHAnsi" w:eastAsiaTheme="minorHAnsi" w:hAnsiTheme="minorHAnsi" w:cstheme="minorBidi"/>
          <w:sz w:val="20"/>
        </w:rPr>
        <w:t>#</w:t>
      </w:r>
      <w:r>
        <w:t xml:space="preserve"> This paper is based on the following NCVER publication: Bednarz, A. 2012, “Lifting the lid on completion rates in the VET sector: how they are defined and derived”, NCVER, </w:t>
      </w:r>
      <w:r w:rsidR="00392013">
        <w:t xml:space="preserve">Adelaide, </w:t>
      </w:r>
      <w:r>
        <w:t>&lt;</w:t>
      </w:r>
      <w:r w:rsidRPr="005229F5">
        <w:t>http://www.ncver.edu.au/publications/2467.html</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09"/>
    <w:multiLevelType w:val="hybridMultilevel"/>
    <w:tmpl w:val="1448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901FB"/>
    <w:multiLevelType w:val="hybridMultilevel"/>
    <w:tmpl w:val="49883E18"/>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40C91"/>
    <w:multiLevelType w:val="hybridMultilevel"/>
    <w:tmpl w:val="A3DCB69C"/>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46404B"/>
    <w:multiLevelType w:val="hybridMultilevel"/>
    <w:tmpl w:val="7BBEB9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EA0A11"/>
    <w:multiLevelType w:val="hybridMultilevel"/>
    <w:tmpl w:val="C284B4B0"/>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B334BA"/>
    <w:multiLevelType w:val="hybridMultilevel"/>
    <w:tmpl w:val="E850CF52"/>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1B08AC"/>
    <w:multiLevelType w:val="hybridMultilevel"/>
    <w:tmpl w:val="DAAA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DF0250"/>
    <w:multiLevelType w:val="hybridMultilevel"/>
    <w:tmpl w:val="CED4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EC"/>
    <w:rsid w:val="0000759F"/>
    <w:rsid w:val="0002150E"/>
    <w:rsid w:val="000327E1"/>
    <w:rsid w:val="00043732"/>
    <w:rsid w:val="000448A8"/>
    <w:rsid w:val="00047A52"/>
    <w:rsid w:val="00055643"/>
    <w:rsid w:val="00071CFE"/>
    <w:rsid w:val="0007396B"/>
    <w:rsid w:val="0009065A"/>
    <w:rsid w:val="0009244B"/>
    <w:rsid w:val="000A3F33"/>
    <w:rsid w:val="000D2632"/>
    <w:rsid w:val="000D69EA"/>
    <w:rsid w:val="000E3888"/>
    <w:rsid w:val="001063E5"/>
    <w:rsid w:val="00114230"/>
    <w:rsid w:val="0012670C"/>
    <w:rsid w:val="00134F70"/>
    <w:rsid w:val="00145F13"/>
    <w:rsid w:val="00146E53"/>
    <w:rsid w:val="00155FAF"/>
    <w:rsid w:val="001962C0"/>
    <w:rsid w:val="001A73C5"/>
    <w:rsid w:val="001B57BD"/>
    <w:rsid w:val="001C7972"/>
    <w:rsid w:val="001E0881"/>
    <w:rsid w:val="001E12B3"/>
    <w:rsid w:val="001F4432"/>
    <w:rsid w:val="00207F5D"/>
    <w:rsid w:val="00215A5D"/>
    <w:rsid w:val="00256DDD"/>
    <w:rsid w:val="00257878"/>
    <w:rsid w:val="0028240C"/>
    <w:rsid w:val="00282427"/>
    <w:rsid w:val="00294799"/>
    <w:rsid w:val="002A0731"/>
    <w:rsid w:val="002A471D"/>
    <w:rsid w:val="002D2A8C"/>
    <w:rsid w:val="002E54DC"/>
    <w:rsid w:val="002F0917"/>
    <w:rsid w:val="00305511"/>
    <w:rsid w:val="00310FF0"/>
    <w:rsid w:val="00345FE4"/>
    <w:rsid w:val="00365629"/>
    <w:rsid w:val="00367E6C"/>
    <w:rsid w:val="003867E0"/>
    <w:rsid w:val="0039003B"/>
    <w:rsid w:val="00392013"/>
    <w:rsid w:val="003929B1"/>
    <w:rsid w:val="003B554E"/>
    <w:rsid w:val="003E0D50"/>
    <w:rsid w:val="003E1673"/>
    <w:rsid w:val="003E29B7"/>
    <w:rsid w:val="003E39B4"/>
    <w:rsid w:val="003F08AF"/>
    <w:rsid w:val="004023A6"/>
    <w:rsid w:val="00414330"/>
    <w:rsid w:val="00425C1F"/>
    <w:rsid w:val="00433C62"/>
    <w:rsid w:val="00440E34"/>
    <w:rsid w:val="00443A57"/>
    <w:rsid w:val="00444E0E"/>
    <w:rsid w:val="00463003"/>
    <w:rsid w:val="00464B94"/>
    <w:rsid w:val="0049020F"/>
    <w:rsid w:val="004A3751"/>
    <w:rsid w:val="004A42DF"/>
    <w:rsid w:val="004B2250"/>
    <w:rsid w:val="004B2B00"/>
    <w:rsid w:val="004D0052"/>
    <w:rsid w:val="004D1C21"/>
    <w:rsid w:val="004D75C9"/>
    <w:rsid w:val="004E12D1"/>
    <w:rsid w:val="004F152D"/>
    <w:rsid w:val="00504AEC"/>
    <w:rsid w:val="00511AFE"/>
    <w:rsid w:val="0051665F"/>
    <w:rsid w:val="005229F5"/>
    <w:rsid w:val="005645F2"/>
    <w:rsid w:val="00581AF6"/>
    <w:rsid w:val="005939F1"/>
    <w:rsid w:val="005D3087"/>
    <w:rsid w:val="005D33A0"/>
    <w:rsid w:val="005D7F13"/>
    <w:rsid w:val="005E3882"/>
    <w:rsid w:val="006003DA"/>
    <w:rsid w:val="006030D8"/>
    <w:rsid w:val="00606525"/>
    <w:rsid w:val="0061164E"/>
    <w:rsid w:val="00614AB7"/>
    <w:rsid w:val="00630C47"/>
    <w:rsid w:val="006366D8"/>
    <w:rsid w:val="0065092F"/>
    <w:rsid w:val="00664ECB"/>
    <w:rsid w:val="006741F8"/>
    <w:rsid w:val="0068471F"/>
    <w:rsid w:val="006862BC"/>
    <w:rsid w:val="006D06B5"/>
    <w:rsid w:val="00705B7D"/>
    <w:rsid w:val="007263BC"/>
    <w:rsid w:val="00731636"/>
    <w:rsid w:val="00753311"/>
    <w:rsid w:val="007C477B"/>
    <w:rsid w:val="007D7EA7"/>
    <w:rsid w:val="007E5005"/>
    <w:rsid w:val="007F5C69"/>
    <w:rsid w:val="00816B46"/>
    <w:rsid w:val="00826759"/>
    <w:rsid w:val="00861F0D"/>
    <w:rsid w:val="008933CC"/>
    <w:rsid w:val="008B4C4C"/>
    <w:rsid w:val="008B4F0A"/>
    <w:rsid w:val="008C6DC4"/>
    <w:rsid w:val="008D4996"/>
    <w:rsid w:val="008E0A8F"/>
    <w:rsid w:val="00903714"/>
    <w:rsid w:val="0090530D"/>
    <w:rsid w:val="00933EFA"/>
    <w:rsid w:val="00954A88"/>
    <w:rsid w:val="00962ADD"/>
    <w:rsid w:val="00973675"/>
    <w:rsid w:val="00977670"/>
    <w:rsid w:val="00994BE4"/>
    <w:rsid w:val="009D4B8D"/>
    <w:rsid w:val="009D772F"/>
    <w:rsid w:val="009E048E"/>
    <w:rsid w:val="009E28B8"/>
    <w:rsid w:val="009E5EB8"/>
    <w:rsid w:val="00A0181A"/>
    <w:rsid w:val="00A328B4"/>
    <w:rsid w:val="00A8113F"/>
    <w:rsid w:val="00A9068D"/>
    <w:rsid w:val="00A976F7"/>
    <w:rsid w:val="00AD7C93"/>
    <w:rsid w:val="00AE0F21"/>
    <w:rsid w:val="00B11ED1"/>
    <w:rsid w:val="00B15587"/>
    <w:rsid w:val="00B16C33"/>
    <w:rsid w:val="00B37119"/>
    <w:rsid w:val="00B522E9"/>
    <w:rsid w:val="00B53360"/>
    <w:rsid w:val="00B56FB9"/>
    <w:rsid w:val="00B60326"/>
    <w:rsid w:val="00B8706E"/>
    <w:rsid w:val="00BA63E3"/>
    <w:rsid w:val="00BD455D"/>
    <w:rsid w:val="00BD7D5B"/>
    <w:rsid w:val="00BD7E76"/>
    <w:rsid w:val="00BE2203"/>
    <w:rsid w:val="00BF1FC2"/>
    <w:rsid w:val="00C00F55"/>
    <w:rsid w:val="00C02146"/>
    <w:rsid w:val="00C777AD"/>
    <w:rsid w:val="00CA3FCD"/>
    <w:rsid w:val="00CB75FC"/>
    <w:rsid w:val="00CE436A"/>
    <w:rsid w:val="00CF084F"/>
    <w:rsid w:val="00CF2C83"/>
    <w:rsid w:val="00CF374E"/>
    <w:rsid w:val="00D16DE1"/>
    <w:rsid w:val="00D1741D"/>
    <w:rsid w:val="00D20AE2"/>
    <w:rsid w:val="00D35D2F"/>
    <w:rsid w:val="00D61841"/>
    <w:rsid w:val="00DA51E8"/>
    <w:rsid w:val="00DC2B7B"/>
    <w:rsid w:val="00DD5C97"/>
    <w:rsid w:val="00DD6A12"/>
    <w:rsid w:val="00DD6DE9"/>
    <w:rsid w:val="00DF7DAA"/>
    <w:rsid w:val="00E03B08"/>
    <w:rsid w:val="00E03FDE"/>
    <w:rsid w:val="00E449B6"/>
    <w:rsid w:val="00E460B3"/>
    <w:rsid w:val="00E73BB5"/>
    <w:rsid w:val="00E84A67"/>
    <w:rsid w:val="00EB2214"/>
    <w:rsid w:val="00EB522D"/>
    <w:rsid w:val="00EB6268"/>
    <w:rsid w:val="00EB6DB4"/>
    <w:rsid w:val="00ED2274"/>
    <w:rsid w:val="00EF21CB"/>
    <w:rsid w:val="00EF34A7"/>
    <w:rsid w:val="00F04FCF"/>
    <w:rsid w:val="00F26DA4"/>
    <w:rsid w:val="00F3751A"/>
    <w:rsid w:val="00F671FC"/>
    <w:rsid w:val="00F7262E"/>
    <w:rsid w:val="00F8517E"/>
    <w:rsid w:val="00FA2A5A"/>
    <w:rsid w:val="00FC3B7D"/>
    <w:rsid w:val="00FE0DEB"/>
    <w:rsid w:val="00FF4E6F"/>
    <w:rsid w:val="00FF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ules v:ext="edit">
        <o:r id="V:Rule9" type="connector" idref="#_x0000_s1136"/>
        <o:r id="V:Rule10" type="connector" idref="#_x0000_s1129"/>
        <o:r id="V:Rule11" type="connector" idref="#_x0000_s1150"/>
        <o:r id="V:Rule12" type="connector" idref="#_x0000_s1162"/>
        <o:r id="V:Rule13" type="connector" idref="#_x0000_s1163"/>
        <o:r id="V:Rule14" type="connector" idref="#_x0000_s1137"/>
        <o:r id="V:Rule15" type="connector" idref="#_x0000_s1151"/>
        <o:r id="V:Rule16" type="connector" idref="#_x0000_s1130"/>
      </o:rules>
    </o:shapelayout>
  </w:shapeDefaults>
  <w:decimalSymbol w:val="."/>
  <w:listSeparator w:val=","/>
  <w15:docId w15:val="{4334C617-3C66-4C9F-851D-F9621870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FE"/>
  </w:style>
  <w:style w:type="paragraph" w:styleId="Heading1">
    <w:name w:val="heading 1"/>
    <w:next w:val="Text"/>
    <w:link w:val="Heading1Char"/>
    <w:qFormat/>
    <w:rsid w:val="000448A8"/>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0448A8"/>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qFormat/>
    <w:rsid w:val="000448A8"/>
    <w:pPr>
      <w:spacing w:before="280" w:after="0" w:line="320" w:lineRule="exact"/>
      <w:outlineLvl w:val="2"/>
    </w:pPr>
    <w:rPr>
      <w:rFonts w:ascii="Tahoma" w:eastAsia="Times New Roman" w:hAnsi="Tahoma" w:cs="Tahom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2A471D"/>
    <w:pPr>
      <w:spacing w:before="80" w:after="0" w:line="240" w:lineRule="auto"/>
      <w:ind w:left="284" w:right="-369" w:hanging="284"/>
    </w:pPr>
    <w:rPr>
      <w:rFonts w:ascii="Trebuchet MS" w:eastAsia="Times New Roman" w:hAnsi="Trebuchet MS" w:cs="Times New Roman"/>
      <w:sz w:val="18"/>
      <w:szCs w:val="20"/>
    </w:rPr>
  </w:style>
  <w:style w:type="paragraph" w:customStyle="1" w:styleId="Text">
    <w:name w:val="Text"/>
    <w:link w:val="TextChar"/>
    <w:rsid w:val="00B15587"/>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B15587"/>
    <w:rPr>
      <w:rFonts w:ascii="Trebuchet MS" w:eastAsia="Times New Roman" w:hAnsi="Trebuchet MS" w:cs="Times New Roman"/>
      <w:sz w:val="19"/>
      <w:szCs w:val="20"/>
    </w:rPr>
  </w:style>
  <w:style w:type="paragraph" w:customStyle="1" w:styleId="PublicationTitle">
    <w:name w:val="Publication Title"/>
    <w:qFormat/>
    <w:rsid w:val="007C477B"/>
    <w:pPr>
      <w:spacing w:before="3200" w:after="840" w:line="240" w:lineRule="auto"/>
      <w:ind w:left="1701"/>
    </w:pPr>
    <w:rPr>
      <w:rFonts w:ascii="Tahoma" w:eastAsia="Times New Roman" w:hAnsi="Tahoma" w:cs="Tahoma"/>
      <w:color w:val="000000"/>
      <w:kern w:val="28"/>
      <w:sz w:val="56"/>
      <w:szCs w:val="56"/>
    </w:rPr>
  </w:style>
  <w:style w:type="character" w:customStyle="1" w:styleId="Heading1Char">
    <w:name w:val="Heading 1 Char"/>
    <w:basedOn w:val="DefaultParagraphFont"/>
    <w:link w:val="Heading1"/>
    <w:rsid w:val="000448A8"/>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0448A8"/>
    <w:rPr>
      <w:rFonts w:ascii="Tahoma" w:eastAsia="Times New Roman" w:hAnsi="Tahoma" w:cs="Tahoma"/>
      <w:sz w:val="28"/>
      <w:szCs w:val="20"/>
    </w:rPr>
  </w:style>
  <w:style w:type="character" w:customStyle="1" w:styleId="Heading3Char">
    <w:name w:val="Heading 3 Char"/>
    <w:basedOn w:val="DefaultParagraphFont"/>
    <w:link w:val="Heading3"/>
    <w:rsid w:val="000448A8"/>
    <w:rPr>
      <w:rFonts w:ascii="Tahoma" w:eastAsia="Times New Roman" w:hAnsi="Tahoma" w:cs="Tahoma"/>
      <w:color w:val="000000"/>
      <w:sz w:val="24"/>
      <w:szCs w:val="20"/>
    </w:rPr>
  </w:style>
  <w:style w:type="paragraph" w:customStyle="1" w:styleId="tabletitle">
    <w:name w:val="tabletitle"/>
    <w:next w:val="Text"/>
    <w:rsid w:val="000448A8"/>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0448A8"/>
    <w:pPr>
      <w:spacing w:before="40" w:after="40" w:line="240" w:lineRule="auto"/>
    </w:pPr>
    <w:rPr>
      <w:rFonts w:ascii="Arial" w:eastAsia="Times New Roman" w:hAnsi="Arial" w:cs="Times New Roman"/>
      <w:sz w:val="16"/>
      <w:szCs w:val="20"/>
    </w:rPr>
  </w:style>
  <w:style w:type="paragraph" w:customStyle="1" w:styleId="Tablehead1">
    <w:name w:val="Tablehead1"/>
    <w:rsid w:val="000448A8"/>
    <w:pPr>
      <w:spacing w:before="80" w:after="80" w:line="240" w:lineRule="auto"/>
    </w:pPr>
    <w:rPr>
      <w:rFonts w:ascii="Arial" w:eastAsia="Times New Roman" w:hAnsi="Arial" w:cs="Times New Roman"/>
      <w:b/>
      <w:sz w:val="17"/>
      <w:szCs w:val="20"/>
    </w:rPr>
  </w:style>
  <w:style w:type="paragraph" w:customStyle="1" w:styleId="Tablehead2">
    <w:name w:val="Tablehead2"/>
    <w:basedOn w:val="Tablehead1"/>
    <w:rsid w:val="000448A8"/>
    <w:pPr>
      <w:tabs>
        <w:tab w:val="left" w:pos="992"/>
      </w:tabs>
      <w:spacing w:before="20" w:after="20"/>
    </w:pPr>
    <w:rPr>
      <w:b w:val="0"/>
    </w:rPr>
  </w:style>
  <w:style w:type="paragraph" w:customStyle="1" w:styleId="Figuretitle">
    <w:name w:val="Figuretitle"/>
    <w:basedOn w:val="tabletitle"/>
    <w:rsid w:val="000448A8"/>
  </w:style>
  <w:style w:type="paragraph" w:customStyle="1" w:styleId="Dotpoint1">
    <w:name w:val="Dotpoint1"/>
    <w:rsid w:val="000448A8"/>
    <w:pPr>
      <w:numPr>
        <w:numId w:val="1"/>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Source">
    <w:name w:val="Source"/>
    <w:rsid w:val="000448A8"/>
    <w:pPr>
      <w:spacing w:before="40" w:after="0" w:line="240" w:lineRule="auto"/>
      <w:ind w:left="567" w:hanging="567"/>
    </w:pPr>
    <w:rPr>
      <w:rFonts w:ascii="Arial" w:eastAsia="Times New Roman" w:hAnsi="Arial" w:cs="Times New Roman"/>
      <w:sz w:val="15"/>
      <w:szCs w:val="20"/>
    </w:rPr>
  </w:style>
  <w:style w:type="table" w:styleId="TableGrid">
    <w:name w:val="Table Grid"/>
    <w:basedOn w:val="TableNormal"/>
    <w:uiPriority w:val="59"/>
    <w:rsid w:val="000448A8"/>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448A8"/>
    <w:rPr>
      <w:rFonts w:ascii="Trebuchet MS" w:hAnsi="Trebuchet MS"/>
      <w:color w:val="auto"/>
      <w:sz w:val="19"/>
      <w:u w:val="none"/>
    </w:rPr>
  </w:style>
  <w:style w:type="paragraph" w:styleId="ListParagraph">
    <w:name w:val="List Paragraph"/>
    <w:basedOn w:val="Normal"/>
    <w:uiPriority w:val="34"/>
    <w:qFormat/>
    <w:rsid w:val="000448A8"/>
    <w:pPr>
      <w:spacing w:before="160" w:after="0" w:line="260" w:lineRule="exact"/>
      <w:ind w:left="720"/>
      <w:contextualSpacing/>
    </w:pPr>
    <w:rPr>
      <w:rFonts w:ascii="Trebuchet MS" w:eastAsia="Times New Roman" w:hAnsi="Trebuchet MS" w:cs="Times New Roman"/>
      <w:sz w:val="19"/>
      <w:szCs w:val="20"/>
    </w:rPr>
  </w:style>
  <w:style w:type="paragraph" w:customStyle="1" w:styleId="Textlessbefore">
    <w:name w:val="Text less # before"/>
    <w:basedOn w:val="Text"/>
    <w:uiPriority w:val="1"/>
    <w:qFormat/>
    <w:rsid w:val="000448A8"/>
    <w:pPr>
      <w:spacing w:before="80"/>
      <w:ind w:right="0"/>
    </w:pPr>
  </w:style>
  <w:style w:type="paragraph" w:customStyle="1" w:styleId="Textmorebefore">
    <w:name w:val="Text more # before"/>
    <w:basedOn w:val="Text"/>
    <w:uiPriority w:val="1"/>
    <w:qFormat/>
    <w:rsid w:val="000448A8"/>
    <w:pPr>
      <w:spacing w:before="360"/>
      <w:ind w:right="0"/>
    </w:pPr>
  </w:style>
  <w:style w:type="paragraph" w:customStyle="1" w:styleId="Textbeforebox">
    <w:name w:val="Text before box"/>
    <w:basedOn w:val="Textlessbefore"/>
    <w:uiPriority w:val="1"/>
    <w:qFormat/>
    <w:rsid w:val="000448A8"/>
    <w:pPr>
      <w:spacing w:before="0" w:line="240" w:lineRule="auto"/>
    </w:pPr>
  </w:style>
  <w:style w:type="paragraph" w:styleId="Header">
    <w:name w:val="header"/>
    <w:basedOn w:val="Normal"/>
    <w:link w:val="HeaderChar"/>
    <w:uiPriority w:val="99"/>
    <w:semiHidden/>
    <w:unhideWhenUsed/>
    <w:rsid w:val="00B371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7119"/>
  </w:style>
  <w:style w:type="paragraph" w:styleId="Footer">
    <w:name w:val="footer"/>
    <w:basedOn w:val="Normal"/>
    <w:link w:val="FooterChar"/>
    <w:uiPriority w:val="99"/>
    <w:unhideWhenUsed/>
    <w:rsid w:val="00B3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19"/>
  </w:style>
  <w:style w:type="paragraph" w:customStyle="1" w:styleId="Default">
    <w:name w:val="Default"/>
    <w:rsid w:val="00816B46"/>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522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9F5"/>
    <w:rPr>
      <w:sz w:val="20"/>
      <w:szCs w:val="20"/>
    </w:rPr>
  </w:style>
  <w:style w:type="character" w:styleId="FootnoteReference">
    <w:name w:val="footnote reference"/>
    <w:basedOn w:val="DefaultParagraphFont"/>
    <w:uiPriority w:val="99"/>
    <w:semiHidden/>
    <w:unhideWhenUsed/>
    <w:rsid w:val="005229F5"/>
    <w:rPr>
      <w:vertAlign w:val="superscript"/>
    </w:rPr>
  </w:style>
  <w:style w:type="character" w:styleId="FollowedHyperlink">
    <w:name w:val="FollowedHyperlink"/>
    <w:basedOn w:val="DefaultParagraphFont"/>
    <w:uiPriority w:val="99"/>
    <w:semiHidden/>
    <w:unhideWhenUsed/>
    <w:rsid w:val="00522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ver.edu.au/%20publications/2403.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ncver.edu.au/publications/231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ver.edu.au/publications/2262.html" TargetMode="External"/><Relationship Id="rId5" Type="http://schemas.openxmlformats.org/officeDocument/2006/relationships/webSettings" Target="webSettings.xml"/><Relationship Id="rId15" Type="http://schemas.openxmlformats.org/officeDocument/2006/relationships/hyperlink" Target="http://www.ncver.edu.au/publications/2215.html" TargetMode="External"/><Relationship Id="rId10" Type="http://schemas.openxmlformats.org/officeDocument/2006/relationships/hyperlink" Target="http://www.ncver.edu.au/publications/2357.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cver.edu.au/publications/2388.html" TargetMode="External"/><Relationship Id="rId14" Type="http://schemas.openxmlformats.org/officeDocument/2006/relationships/hyperlink" Target="http://www.ncver.edu.au/%20publications/24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28496-9DB0-431B-AA87-53DE652FF86A}">
  <ds:schemaRefs>
    <ds:schemaRef ds:uri="http://schemas.openxmlformats.org/officeDocument/2006/bibliography"/>
  </ds:schemaRefs>
</ds:datastoreItem>
</file>

<file path=customXml/itemProps2.xml><?xml version="1.0" encoding="utf-8"?>
<ds:datastoreItem xmlns:ds="http://schemas.openxmlformats.org/officeDocument/2006/customXml" ds:itemID="{4AE01059-F59B-44B9-A2F4-09F120665F0D}"/>
</file>

<file path=customXml/itemProps3.xml><?xml version="1.0" encoding="utf-8"?>
<ds:datastoreItem xmlns:ds="http://schemas.openxmlformats.org/officeDocument/2006/customXml" ds:itemID="{506659E1-8E0D-431E-8B6A-BD968E54DA9D}"/>
</file>

<file path=customXml/itemProps4.xml><?xml version="1.0" encoding="utf-8"?>
<ds:datastoreItem xmlns:ds="http://schemas.openxmlformats.org/officeDocument/2006/customXml" ds:itemID="{133E0922-53C2-49AD-883B-C62FE2B05F5D}"/>
</file>

<file path=docProps/app.xml><?xml version="1.0" encoding="utf-8"?>
<Properties xmlns="http://schemas.openxmlformats.org/officeDocument/2006/extended-properties" xmlns:vt="http://schemas.openxmlformats.org/officeDocument/2006/docPropsVTypes">
  <Template>Normal</Template>
  <TotalTime>0</TotalTime>
  <Pages>10</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alicebednarz</dc:creator>
  <cp:keywords/>
  <dc:description/>
  <cp:lastModifiedBy>Alicia Child</cp:lastModifiedBy>
  <cp:revision>2</cp:revision>
  <cp:lastPrinted>2012-03-07T22:41:00Z</cp:lastPrinted>
  <dcterms:created xsi:type="dcterms:W3CDTF">2016-11-29T05:46:00Z</dcterms:created>
  <dcterms:modified xsi:type="dcterms:W3CDTF">2016-11-29T05:46:00Z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