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C5" w:rsidRPr="00692E5B" w:rsidRDefault="00470EC5" w:rsidP="00383E03">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692E5B">
        <w:rPr>
          <w:rFonts w:ascii="Times New Roman" w:hAnsi="Times New Roman" w:cs="Times New Roman"/>
          <w:b/>
          <w:sz w:val="28"/>
          <w:szCs w:val="28"/>
        </w:rPr>
        <w:t>Don’t blame Dawkins; Kangan laid the foundation for VET markets</w:t>
      </w:r>
    </w:p>
    <w:p w:rsidR="00470EC5" w:rsidRPr="00692E5B" w:rsidRDefault="00470EC5" w:rsidP="00383E03">
      <w:pPr>
        <w:autoSpaceDE w:val="0"/>
        <w:autoSpaceDN w:val="0"/>
        <w:adjustRightInd w:val="0"/>
        <w:spacing w:after="0" w:line="240" w:lineRule="auto"/>
        <w:rPr>
          <w:rFonts w:ascii="Times New Roman" w:hAnsi="Times New Roman" w:cs="Times New Roman"/>
          <w:sz w:val="24"/>
          <w:szCs w:val="24"/>
        </w:rPr>
      </w:pPr>
    </w:p>
    <w:p w:rsidR="00470EC5" w:rsidRPr="00692E5B" w:rsidRDefault="00470EC5" w:rsidP="00815D33">
      <w:pPr>
        <w:autoSpaceDE w:val="0"/>
        <w:autoSpaceDN w:val="0"/>
        <w:adjustRightInd w:val="0"/>
        <w:spacing w:after="0" w:line="240" w:lineRule="auto"/>
        <w:jc w:val="center"/>
        <w:rPr>
          <w:rFonts w:ascii="Times New Roman" w:hAnsi="Times New Roman" w:cs="Times New Roman"/>
          <w:sz w:val="24"/>
          <w:szCs w:val="24"/>
        </w:rPr>
      </w:pPr>
    </w:p>
    <w:p w:rsidR="00470EC5" w:rsidRPr="00692E5B" w:rsidRDefault="00470EC5" w:rsidP="00383E03">
      <w:pPr>
        <w:autoSpaceDE w:val="0"/>
        <w:autoSpaceDN w:val="0"/>
        <w:adjustRightInd w:val="0"/>
        <w:spacing w:after="0" w:line="240" w:lineRule="auto"/>
        <w:rPr>
          <w:rFonts w:ascii="Times New Roman" w:hAnsi="Times New Roman" w:cs="Times New Roman"/>
          <w:sz w:val="24"/>
          <w:szCs w:val="24"/>
        </w:rPr>
      </w:pPr>
    </w:p>
    <w:p w:rsidR="00470EC5" w:rsidRPr="00692E5B" w:rsidRDefault="00470EC5" w:rsidP="00CC2503">
      <w:pPr>
        <w:autoSpaceDE w:val="0"/>
        <w:autoSpaceDN w:val="0"/>
        <w:adjustRightInd w:val="0"/>
        <w:spacing w:after="0" w:line="480" w:lineRule="auto"/>
        <w:rPr>
          <w:rFonts w:ascii="Times New Roman" w:hAnsi="Times New Roman" w:cs="Times New Roman"/>
          <w:b/>
          <w:sz w:val="24"/>
          <w:szCs w:val="24"/>
        </w:rPr>
      </w:pPr>
      <w:r w:rsidRPr="00692E5B">
        <w:rPr>
          <w:rFonts w:ascii="Times New Roman" w:hAnsi="Times New Roman" w:cs="Times New Roman"/>
          <w:b/>
          <w:sz w:val="24"/>
          <w:szCs w:val="24"/>
        </w:rPr>
        <w:t>Abstract</w:t>
      </w:r>
    </w:p>
    <w:p w:rsidR="00470EC5" w:rsidRPr="00692E5B" w:rsidRDefault="00470EC5" w:rsidP="00CC2503">
      <w:pPr>
        <w:autoSpaceDE w:val="0"/>
        <w:autoSpaceDN w:val="0"/>
        <w:adjustRightInd w:val="0"/>
        <w:spacing w:after="0" w:line="480" w:lineRule="auto"/>
        <w:rPr>
          <w:rFonts w:ascii="Times New Roman" w:hAnsi="Times New Roman" w:cs="Times New Roman"/>
          <w:sz w:val="24"/>
          <w:szCs w:val="24"/>
        </w:rPr>
      </w:pP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Standardisation serves an important role in supporting the establishment of markets that operate across multiple jurisdictions and was explicitly</w:t>
      </w:r>
      <w:r>
        <w:rPr>
          <w:rFonts w:ascii="Times New Roman" w:hAnsi="Times New Roman" w:cs="Times New Roman"/>
          <w:sz w:val="24"/>
          <w:szCs w:val="24"/>
        </w:rPr>
        <w:t xml:space="preserve"> sanctioned in the 1974 Kangan r</w:t>
      </w:r>
      <w:r w:rsidRPr="00692E5B">
        <w:rPr>
          <w:rFonts w:ascii="Times New Roman" w:hAnsi="Times New Roman" w:cs="Times New Roman"/>
          <w:sz w:val="24"/>
          <w:szCs w:val="24"/>
        </w:rPr>
        <w:t>eview of Technical and Further Education. This paper traces the introduction and growth of standardisation in Australian vocational education and training through a discourse analysis of key policy documents. The benefits and limitations of standards-setting in increasingly contestable training markets are described. It will be argued that the ubiquitous acceptance of standards in multiple vocational education and training policies and processes now serves as a form of ‘cultural con</w:t>
      </w:r>
      <w:r>
        <w:rPr>
          <w:rFonts w:ascii="Times New Roman" w:hAnsi="Times New Roman" w:cs="Times New Roman"/>
          <w:sz w:val="24"/>
          <w:szCs w:val="24"/>
        </w:rPr>
        <w:t>straint’</w:t>
      </w:r>
      <w:r w:rsidRPr="00692E5B">
        <w:rPr>
          <w:rFonts w:ascii="Times New Roman" w:hAnsi="Times New Roman" w:cs="Times New Roman"/>
          <w:sz w:val="24"/>
          <w:szCs w:val="24"/>
        </w:rPr>
        <w:t>. After 40 years, the time is ripe for an exploration of alternative mechanisms that will better support the politically popular market-driven behaviour expected of the training sector.</w:t>
      </w:r>
    </w:p>
    <w:p w:rsidR="00470EC5" w:rsidRPr="00692E5B" w:rsidRDefault="00470EC5" w:rsidP="00CC2503">
      <w:pPr>
        <w:autoSpaceDE w:val="0"/>
        <w:autoSpaceDN w:val="0"/>
        <w:adjustRightInd w:val="0"/>
        <w:spacing w:line="480" w:lineRule="auto"/>
        <w:rPr>
          <w:rFonts w:ascii="Times New Roman" w:hAnsi="Times New Roman" w:cs="Times New Roman"/>
          <w:sz w:val="24"/>
          <w:szCs w:val="24"/>
        </w:rPr>
      </w:pPr>
      <w:r w:rsidRPr="00692E5B">
        <w:rPr>
          <w:rFonts w:ascii="Times New Roman" w:hAnsi="Times New Roman" w:cs="Times New Roman"/>
          <w:b/>
          <w:sz w:val="24"/>
          <w:szCs w:val="24"/>
        </w:rPr>
        <w:t>Introduction</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Many accounts of the historical development of Australia’s national system of training cite the early 1990s as the starting point for open, contestable and, sometimes, competitive markets for the provision of vocational education and training (VET). This view is widely shared by a range of system participants, including former senior vocational educators </w:t>
      </w:r>
      <w:r w:rsidRPr="00692E5B">
        <w:rPr>
          <w:rFonts w:ascii="Times New Roman" w:hAnsi="Times New Roman" w:cs="Times New Roman"/>
          <w:noProof/>
          <w:sz w:val="24"/>
          <w:szCs w:val="24"/>
        </w:rPr>
        <w:t>(Kinsman 2009, 25)</w:t>
      </w:r>
      <w:r w:rsidRPr="00692E5B">
        <w:rPr>
          <w:rFonts w:ascii="Times New Roman" w:hAnsi="Times New Roman" w:cs="Times New Roman"/>
          <w:sz w:val="24"/>
          <w:szCs w:val="24"/>
        </w:rPr>
        <w:t xml:space="preserve"> and senior Commonwealth Government bureaucrats </w:t>
      </w:r>
      <w:r>
        <w:rPr>
          <w:rFonts w:ascii="Times New Roman" w:hAnsi="Times New Roman" w:cs="Times New Roman"/>
          <w:noProof/>
          <w:sz w:val="24"/>
          <w:szCs w:val="24"/>
        </w:rPr>
        <w:t>(Johnston 1994)</w:t>
      </w:r>
      <w:r w:rsidRPr="00692E5B">
        <w:rPr>
          <w:rFonts w:ascii="Times New Roman" w:hAnsi="Times New Roman" w:cs="Times New Roman"/>
          <w:sz w:val="24"/>
          <w:szCs w:val="24"/>
        </w:rPr>
        <w:t xml:space="preserve">. When writing her comprehensive historical account of the development of Technical and Further Education (TAFE), Goozee </w:t>
      </w:r>
      <w:r w:rsidRPr="00692E5B">
        <w:rPr>
          <w:rFonts w:ascii="Times New Roman" w:hAnsi="Times New Roman" w:cs="Times New Roman"/>
          <w:noProof/>
          <w:sz w:val="24"/>
          <w:szCs w:val="24"/>
        </w:rPr>
        <w:t>(2001, 90-91)</w:t>
      </w:r>
      <w:r w:rsidRPr="00692E5B">
        <w:rPr>
          <w:rFonts w:ascii="Times New Roman" w:hAnsi="Times New Roman" w:cs="Times New Roman"/>
          <w:sz w:val="24"/>
          <w:szCs w:val="24"/>
        </w:rPr>
        <w:t xml:space="preserve">, neatly summarises the commonly held view that: </w:t>
      </w:r>
    </w:p>
    <w:p w:rsidR="00470EC5" w:rsidRPr="00692E5B" w:rsidRDefault="00470EC5" w:rsidP="00CC2503">
      <w:pPr>
        <w:autoSpaceDE w:val="0"/>
        <w:autoSpaceDN w:val="0"/>
        <w:adjustRightInd w:val="0"/>
        <w:spacing w:line="480" w:lineRule="auto"/>
        <w:ind w:left="567" w:right="567"/>
        <w:jc w:val="both"/>
        <w:rPr>
          <w:rFonts w:ascii="Times New Roman" w:hAnsi="Times New Roman" w:cs="Times New Roman"/>
          <w:sz w:val="24"/>
          <w:szCs w:val="24"/>
        </w:rPr>
      </w:pPr>
      <w:r w:rsidRPr="00692E5B">
        <w:rPr>
          <w:rFonts w:ascii="Times New Roman" w:hAnsi="Times New Roman" w:cs="Times New Roman"/>
          <w:sz w:val="24"/>
          <w:szCs w:val="24"/>
        </w:rPr>
        <w:lastRenderedPageBreak/>
        <w:t xml:space="preserve">Although the idea of a competitive training market has been the dominant theme of discussions about the reform of VET since 1992, its genesis is not clear. It appears to have been derived from the Deveson </w:t>
      </w:r>
      <w:r w:rsidRPr="00692E5B">
        <w:rPr>
          <w:rFonts w:ascii="Times New Roman" w:hAnsi="Times New Roman" w:cs="Times New Roman"/>
          <w:noProof/>
          <w:sz w:val="24"/>
          <w:szCs w:val="24"/>
        </w:rPr>
        <w:t>(1990)</w:t>
      </w:r>
      <w:r w:rsidRPr="00692E5B">
        <w:rPr>
          <w:rFonts w:ascii="Times New Roman" w:hAnsi="Times New Roman" w:cs="Times New Roman"/>
          <w:sz w:val="24"/>
          <w:szCs w:val="24"/>
        </w:rPr>
        <w:t xml:space="preserve"> report, </w:t>
      </w:r>
      <w:r w:rsidRPr="00692E5B">
        <w:rPr>
          <w:rFonts w:ascii="Times New Roman" w:hAnsi="Times New Roman" w:cs="Times New Roman"/>
          <w:i/>
          <w:sz w:val="24"/>
          <w:szCs w:val="24"/>
        </w:rPr>
        <w:t>Training costs of award restructuring.</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Through the application of fresh perspectives, this revisitation of the </w:t>
      </w:r>
      <w:r w:rsidRPr="00692E5B">
        <w:rPr>
          <w:rFonts w:ascii="Times New Roman" w:hAnsi="Times New Roman" w:cs="Times New Roman"/>
          <w:i/>
          <w:sz w:val="24"/>
          <w:szCs w:val="24"/>
        </w:rPr>
        <w:t>Kangan Report</w:t>
      </w:r>
      <w:r w:rsidRPr="00692E5B">
        <w:rPr>
          <w:rFonts w:ascii="Times New Roman" w:hAnsi="Times New Roman" w:cs="Times New Roman"/>
          <w:sz w:val="24"/>
          <w:szCs w:val="24"/>
        </w:rPr>
        <w:t xml:space="preserve"> </w:t>
      </w:r>
      <w:r w:rsidRPr="00692E5B">
        <w:rPr>
          <w:rFonts w:ascii="Times New Roman" w:hAnsi="Times New Roman" w:cs="Times New Roman"/>
          <w:noProof/>
          <w:sz w:val="24"/>
          <w:szCs w:val="24"/>
        </w:rPr>
        <w:t>(Australian Committee on Technical and Further Education 1974)</w:t>
      </w:r>
      <w:r w:rsidRPr="00692E5B">
        <w:rPr>
          <w:rFonts w:ascii="Times New Roman" w:hAnsi="Times New Roman" w:cs="Times New Roman"/>
          <w:sz w:val="24"/>
          <w:szCs w:val="24"/>
        </w:rPr>
        <w:t xml:space="preserve"> some 40 years after it brought federal government policy and funding into the training arena makes the case that the foundations for today’s training market were put into place at that time. In particular, the role of standards, as a technology of governance, and their ubiquitous application in contemporary vocational education and training is described. As will be shown, the use of standards plays a crucial role in the creation of markets – particularly across multiple jurisdictions which was a key matter being addressed in the Kangan review of TAFE.</w:t>
      </w:r>
    </w:p>
    <w:p w:rsidR="00470EC5" w:rsidRPr="00692E5B" w:rsidRDefault="00470EC5" w:rsidP="00CC2503">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b/>
          <w:sz w:val="24"/>
          <w:szCs w:val="24"/>
        </w:rPr>
        <w:t>Background and method</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Rethinking the Kangan report’s contribution to the creation of our current training market draws upon three sources of theory. The first two are related and use a style of analysing discourses attributed to Foucault; “we should attempt to understand the meaning, value and functioning of the discourses themselves and not ask what goes on in the head of those who wrote them” </w:t>
      </w:r>
      <w:r w:rsidRPr="00692E5B">
        <w:rPr>
          <w:rFonts w:ascii="Times New Roman" w:hAnsi="Times New Roman" w:cs="Times New Roman"/>
          <w:noProof/>
          <w:sz w:val="24"/>
          <w:szCs w:val="24"/>
        </w:rPr>
        <w:t>(Oksala 2007, 39)</w:t>
      </w:r>
      <w:r w:rsidRPr="00692E5B">
        <w:rPr>
          <w:rFonts w:ascii="Times New Roman" w:hAnsi="Times New Roman" w:cs="Times New Roman"/>
          <w:sz w:val="24"/>
          <w:szCs w:val="24"/>
        </w:rPr>
        <w:t xml:space="preserve">. In this analysis of standards, we are more interested in the constructivist function of the public policy documents that prioritised the desirability of standards than in who authored and sponsored them. Miller and Rose </w:t>
      </w:r>
      <w:r w:rsidRPr="00692E5B">
        <w:rPr>
          <w:rFonts w:ascii="Times New Roman" w:hAnsi="Times New Roman" w:cs="Times New Roman"/>
          <w:noProof/>
          <w:sz w:val="24"/>
          <w:szCs w:val="24"/>
        </w:rPr>
        <w:t>(2008, 32)</w:t>
      </w:r>
      <w:r w:rsidRPr="00692E5B">
        <w:rPr>
          <w:rFonts w:ascii="Times New Roman" w:hAnsi="Times New Roman" w:cs="Times New Roman"/>
          <w:sz w:val="24"/>
          <w:szCs w:val="24"/>
        </w:rPr>
        <w:t xml:space="preserve"> apply the Foucauldian analytic style to </w:t>
      </w:r>
      <w:r>
        <w:rPr>
          <w:rFonts w:ascii="Times New Roman" w:hAnsi="Times New Roman" w:cs="Times New Roman"/>
          <w:sz w:val="24"/>
          <w:szCs w:val="24"/>
        </w:rPr>
        <w:t>identify</w:t>
      </w:r>
      <w:r w:rsidRPr="00692E5B">
        <w:rPr>
          <w:rFonts w:ascii="Times New Roman" w:hAnsi="Times New Roman" w:cs="Times New Roman"/>
          <w:sz w:val="24"/>
          <w:szCs w:val="24"/>
        </w:rPr>
        <w:t xml:space="preserve"> the ‘technologies of government’. Their use of the term ‘technologies’ describes the mechanisms used by the authorities to guide and normalise the population’s conduct, thought and aspirations; thus ensuring citizens behave in ways deemed to be economically and socially desirable. Not only must the grand political environment be </w:t>
      </w:r>
      <w:r w:rsidRPr="00692E5B">
        <w:rPr>
          <w:rFonts w:ascii="Times New Roman" w:hAnsi="Times New Roman" w:cs="Times New Roman"/>
          <w:sz w:val="24"/>
          <w:szCs w:val="24"/>
        </w:rPr>
        <w:lastRenderedPageBreak/>
        <w:t xml:space="preserve">considered, such as Marxism or neo-liberalism, but Miller and Rose </w:t>
      </w:r>
      <w:r w:rsidRPr="00692E5B">
        <w:rPr>
          <w:rFonts w:ascii="Times New Roman" w:hAnsi="Times New Roman" w:cs="Times New Roman"/>
          <w:noProof/>
          <w:sz w:val="24"/>
          <w:szCs w:val="24"/>
        </w:rPr>
        <w:t>(2008, 32)</w:t>
      </w:r>
      <w:r w:rsidRPr="00692E5B">
        <w:rPr>
          <w:rFonts w:ascii="Times New Roman" w:hAnsi="Times New Roman" w:cs="Times New Roman"/>
          <w:sz w:val="24"/>
          <w:szCs w:val="24"/>
        </w:rPr>
        <w:t xml:space="preserve"> also describe the equal importance of considering the transactional </w:t>
      </w:r>
      <w:r>
        <w:rPr>
          <w:rFonts w:ascii="Times New Roman" w:hAnsi="Times New Roman" w:cs="Times New Roman"/>
          <w:sz w:val="24"/>
          <w:szCs w:val="24"/>
        </w:rPr>
        <w:t>significance:</w:t>
      </w:r>
    </w:p>
    <w:p w:rsidR="00470EC5" w:rsidRPr="00692E5B" w:rsidRDefault="00470EC5" w:rsidP="00CC2503">
      <w:pPr>
        <w:autoSpaceDE w:val="0"/>
        <w:autoSpaceDN w:val="0"/>
        <w:adjustRightInd w:val="0"/>
        <w:spacing w:line="480" w:lineRule="auto"/>
        <w:ind w:left="567" w:right="567"/>
        <w:jc w:val="both"/>
        <w:rPr>
          <w:rFonts w:ascii="Times New Roman" w:hAnsi="Times New Roman" w:cs="Times New Roman"/>
          <w:sz w:val="24"/>
          <w:szCs w:val="24"/>
        </w:rPr>
      </w:pPr>
      <w:r w:rsidRPr="00692E5B">
        <w:rPr>
          <w:rFonts w:ascii="Times New Roman" w:hAnsi="Times New Roman" w:cs="Times New Roman"/>
          <w:sz w:val="24"/>
          <w:szCs w:val="24"/>
        </w:rPr>
        <w:t>of apparently humble and mundane mechanisms which make it possible to govern: techniques of notation, computation and calculation; procedures of examination and assessment; the invention of devices such as surveys and presentational forms such as tables; the standardisation of systems for training and the inculcation of habits; the inauguration of professional specialisms and vocabularies; building design and architectural forms.</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The language of experts and the public policy discourses that emerge play a crucial role in establishing a link between the grand political ambitions and the ordinary technologies that are used to govern the social and economic. By sharing vocabularies, theories and explanations, loose and flexible associations can be established both across time and space</w:t>
      </w:r>
      <w:r>
        <w:rPr>
          <w:rFonts w:ascii="Times New Roman" w:hAnsi="Times New Roman" w:cs="Times New Roman"/>
          <w:sz w:val="24"/>
          <w:szCs w:val="24"/>
        </w:rPr>
        <w:t>,</w:t>
      </w:r>
      <w:r w:rsidRPr="00692E5B">
        <w:rPr>
          <w:rFonts w:ascii="Times New Roman" w:hAnsi="Times New Roman" w:cs="Times New Roman"/>
          <w:sz w:val="24"/>
          <w:szCs w:val="24"/>
        </w:rPr>
        <w:t xml:space="preserve"> building a network that can be used to regulate the behaviour of the population in non-coercive ways </w:t>
      </w:r>
      <w:r w:rsidRPr="00692E5B">
        <w:rPr>
          <w:rFonts w:ascii="Times New Roman" w:hAnsi="Times New Roman" w:cs="Times New Roman"/>
          <w:noProof/>
          <w:sz w:val="24"/>
          <w:szCs w:val="24"/>
        </w:rPr>
        <w:t>(Miller &amp; Rose 2008, 35)</w:t>
      </w:r>
      <w:r w:rsidRPr="00692E5B">
        <w:rPr>
          <w:rFonts w:ascii="Times New Roman" w:hAnsi="Times New Roman" w:cs="Times New Roman"/>
          <w:sz w:val="24"/>
          <w:szCs w:val="24"/>
        </w:rPr>
        <w:t xml:space="preserve">. However, “whilst ‘governmentality’ is eternally optimistic, government is a congenitally failing operation” because the technologies that are used, </w:t>
      </w:r>
      <w:r>
        <w:rPr>
          <w:rFonts w:ascii="Times New Roman" w:hAnsi="Times New Roman" w:cs="Times New Roman"/>
          <w:sz w:val="24"/>
          <w:szCs w:val="24"/>
        </w:rPr>
        <w:t>for example,</w:t>
      </w:r>
      <w:r w:rsidRPr="00692E5B">
        <w:rPr>
          <w:rFonts w:ascii="Times New Roman" w:hAnsi="Times New Roman" w:cs="Times New Roman"/>
          <w:sz w:val="24"/>
          <w:szCs w:val="24"/>
        </w:rPr>
        <w:t xml:space="preserve"> standards in vocational education and training, tend to</w:t>
      </w:r>
      <w:r>
        <w:rPr>
          <w:rFonts w:ascii="Times New Roman" w:hAnsi="Times New Roman" w:cs="Times New Roman"/>
          <w:sz w:val="24"/>
          <w:szCs w:val="24"/>
        </w:rPr>
        <w:t xml:space="preserve"> produce unexpected problems. “R</w:t>
      </w:r>
      <w:r w:rsidRPr="00692E5B">
        <w:rPr>
          <w:rFonts w:ascii="Times New Roman" w:hAnsi="Times New Roman" w:cs="Times New Roman"/>
          <w:sz w:val="24"/>
          <w:szCs w:val="24"/>
        </w:rPr>
        <w:t xml:space="preserve">eality always escapes the theories that inform programs and the ambitions that underpin them” </w:t>
      </w:r>
      <w:r w:rsidRPr="00692E5B">
        <w:rPr>
          <w:rFonts w:ascii="Times New Roman" w:hAnsi="Times New Roman" w:cs="Times New Roman"/>
          <w:noProof/>
          <w:sz w:val="24"/>
          <w:szCs w:val="24"/>
        </w:rPr>
        <w:t>(Miller &amp; Rose 2008, 35)</w:t>
      </w:r>
      <w:r w:rsidRPr="00692E5B">
        <w:rPr>
          <w:rFonts w:ascii="Times New Roman" w:hAnsi="Times New Roman" w:cs="Times New Roman"/>
          <w:sz w:val="24"/>
          <w:szCs w:val="24"/>
        </w:rPr>
        <w:t>.</w:t>
      </w:r>
    </w:p>
    <w:p w:rsidR="00470EC5" w:rsidRPr="00692E5B" w:rsidRDefault="00470EC5" w:rsidP="00CC2503">
      <w:pPr>
        <w:autoSpaceDE w:val="0"/>
        <w:autoSpaceDN w:val="0"/>
        <w:adjustRightInd w:val="0"/>
        <w:spacing w:line="480" w:lineRule="auto"/>
        <w:ind w:left="567" w:right="567"/>
        <w:jc w:val="both"/>
        <w:rPr>
          <w:rFonts w:ascii="Times New Roman" w:hAnsi="Times New Roman" w:cs="Times New Roman"/>
          <w:sz w:val="24"/>
          <w:szCs w:val="24"/>
        </w:rPr>
      </w:pPr>
      <w:r w:rsidRPr="00692E5B">
        <w:rPr>
          <w:rFonts w:ascii="Times New Roman" w:hAnsi="Times New Roman" w:cs="Times New Roman"/>
          <w:sz w:val="24"/>
          <w:szCs w:val="24"/>
        </w:rPr>
        <w:t xml:space="preserve">Contrariwise, techniques invented for one purpose may find their governmental role for another, and the unplanned conjunction of techniques and conditions arising from very different aspirations may allow something to work without or despite its explicit rationale </w:t>
      </w:r>
      <w:r w:rsidRPr="00692E5B">
        <w:rPr>
          <w:rFonts w:ascii="Times New Roman" w:hAnsi="Times New Roman" w:cs="Times New Roman"/>
          <w:noProof/>
          <w:sz w:val="24"/>
          <w:szCs w:val="24"/>
        </w:rPr>
        <w:t>(Miller &amp; Rose 2008, 71)</w:t>
      </w:r>
      <w:r w:rsidRPr="00692E5B">
        <w:rPr>
          <w:rFonts w:ascii="Times New Roman" w:hAnsi="Times New Roman" w:cs="Times New Roman"/>
          <w:sz w:val="24"/>
          <w:szCs w:val="24"/>
        </w:rPr>
        <w:t>.</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lastRenderedPageBreak/>
        <w:t>The near universal application of standard-setting and auditing in the contemporary national training system, on the face of it, is an example of a technology of government that has been uncritically applied to virtually every vocational education and training problem.</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Finally, policy debates on the matter of who should pay for training and who benefits from the acquisition of labour market skills has commonly been reduced to a dualistic </w:t>
      </w:r>
      <w:r w:rsidRPr="00692E5B">
        <w:rPr>
          <w:rFonts w:ascii="Times New Roman" w:hAnsi="Times New Roman" w:cs="Times New Roman"/>
          <w:noProof/>
          <w:sz w:val="24"/>
          <w:szCs w:val="24"/>
        </w:rPr>
        <w:t>(Dow 1990)</w:t>
      </w:r>
      <w:r w:rsidRPr="00692E5B">
        <w:rPr>
          <w:rFonts w:ascii="Times New Roman" w:hAnsi="Times New Roman" w:cs="Times New Roman"/>
          <w:sz w:val="24"/>
          <w:szCs w:val="24"/>
        </w:rPr>
        <w:t xml:space="preserve"> focus upon how to best supply vocational training – markets or governments. Wolf </w:t>
      </w:r>
      <w:r w:rsidRPr="00692E5B">
        <w:rPr>
          <w:rFonts w:ascii="Times New Roman" w:hAnsi="Times New Roman" w:cs="Times New Roman"/>
          <w:noProof/>
          <w:sz w:val="24"/>
          <w:szCs w:val="24"/>
        </w:rPr>
        <w:t>(1993)</w:t>
      </w:r>
      <w:r w:rsidRPr="00692E5B">
        <w:rPr>
          <w:rFonts w:ascii="Times New Roman" w:hAnsi="Times New Roman" w:cs="Times New Roman"/>
          <w:sz w:val="24"/>
          <w:szCs w:val="24"/>
        </w:rPr>
        <w:t xml:space="preserve"> argues that while the major reason for public intervention, market failure, is well theorised, the same cannot be said of nonmarket failure due to under-theorisation and poor articulation</w:t>
      </w:r>
      <w:r>
        <w:rPr>
          <w:rFonts w:ascii="Times New Roman" w:hAnsi="Times New Roman" w:cs="Times New Roman"/>
          <w:sz w:val="24"/>
          <w:szCs w:val="24"/>
        </w:rPr>
        <w:t xml:space="preserve">. Wolf </w:t>
      </w:r>
      <w:r>
        <w:rPr>
          <w:rFonts w:ascii="Times New Roman" w:hAnsi="Times New Roman" w:cs="Times New Roman"/>
          <w:noProof/>
          <w:sz w:val="24"/>
          <w:szCs w:val="24"/>
        </w:rPr>
        <w:t>(1993, 39)</w:t>
      </w:r>
      <w:r>
        <w:rPr>
          <w:rFonts w:ascii="Times New Roman" w:hAnsi="Times New Roman" w:cs="Times New Roman"/>
          <w:sz w:val="24"/>
          <w:szCs w:val="24"/>
        </w:rPr>
        <w:t xml:space="preserve"> summarises the major options open to governments as follows:</w:t>
      </w:r>
    </w:p>
    <w:p w:rsidR="00470EC5" w:rsidRPr="00692E5B" w:rsidRDefault="00470EC5" w:rsidP="00CC2503">
      <w:pPr>
        <w:autoSpaceDE w:val="0"/>
        <w:autoSpaceDN w:val="0"/>
        <w:adjustRightInd w:val="0"/>
        <w:spacing w:line="480" w:lineRule="auto"/>
        <w:ind w:left="567" w:right="567"/>
        <w:jc w:val="both"/>
        <w:rPr>
          <w:rFonts w:ascii="Times New Roman" w:hAnsi="Times New Roman" w:cs="Times New Roman"/>
          <w:sz w:val="24"/>
          <w:szCs w:val="24"/>
        </w:rPr>
      </w:pPr>
      <w:r w:rsidRPr="00692E5B">
        <w:rPr>
          <w:rFonts w:ascii="Times New Roman" w:hAnsi="Times New Roman" w:cs="Times New Roman"/>
          <w:sz w:val="24"/>
          <w:szCs w:val="24"/>
        </w:rPr>
        <w:t>Public policies intended to compensate for market shortcomings generally take the form of legislative or administrative assignment of particular functions to one or another government agency to produce specified outputs that are expected to redress the market’s shortcomings. These outputs or activities are of four types:</w:t>
      </w:r>
    </w:p>
    <w:p w:rsidR="00470EC5" w:rsidRPr="00692E5B" w:rsidRDefault="00470EC5" w:rsidP="00CC2503">
      <w:pPr>
        <w:pStyle w:val="ListParagraph"/>
        <w:numPr>
          <w:ilvl w:val="0"/>
          <w:numId w:val="1"/>
        </w:numPr>
        <w:autoSpaceDE w:val="0"/>
        <w:autoSpaceDN w:val="0"/>
        <w:adjustRightInd w:val="0"/>
        <w:spacing w:line="480" w:lineRule="auto"/>
        <w:ind w:left="927" w:right="567"/>
        <w:jc w:val="both"/>
        <w:rPr>
          <w:rFonts w:ascii="Times New Roman" w:hAnsi="Times New Roman" w:cs="Times New Roman"/>
          <w:sz w:val="24"/>
          <w:szCs w:val="24"/>
        </w:rPr>
      </w:pPr>
      <w:r w:rsidRPr="00692E5B">
        <w:rPr>
          <w:rFonts w:ascii="Times New Roman" w:hAnsi="Times New Roman" w:cs="Times New Roman"/>
          <w:sz w:val="24"/>
          <w:szCs w:val="24"/>
        </w:rPr>
        <w:t>regulatory services</w:t>
      </w:r>
    </w:p>
    <w:p w:rsidR="00470EC5" w:rsidRPr="00692E5B" w:rsidRDefault="00470EC5" w:rsidP="00CC2503">
      <w:pPr>
        <w:pStyle w:val="ListParagraph"/>
        <w:numPr>
          <w:ilvl w:val="0"/>
          <w:numId w:val="1"/>
        </w:numPr>
        <w:autoSpaceDE w:val="0"/>
        <w:autoSpaceDN w:val="0"/>
        <w:adjustRightInd w:val="0"/>
        <w:spacing w:line="480" w:lineRule="auto"/>
        <w:ind w:left="927" w:right="567"/>
        <w:jc w:val="both"/>
        <w:rPr>
          <w:rFonts w:ascii="Times New Roman" w:hAnsi="Times New Roman" w:cs="Times New Roman"/>
          <w:sz w:val="24"/>
          <w:szCs w:val="24"/>
        </w:rPr>
      </w:pPr>
      <w:r w:rsidRPr="00692E5B">
        <w:rPr>
          <w:rFonts w:ascii="Times New Roman" w:hAnsi="Times New Roman" w:cs="Times New Roman"/>
          <w:sz w:val="24"/>
          <w:szCs w:val="24"/>
        </w:rPr>
        <w:t>‘pure’ public goods such as defence or space research</w:t>
      </w:r>
    </w:p>
    <w:p w:rsidR="00470EC5" w:rsidRPr="00692E5B" w:rsidRDefault="00470EC5" w:rsidP="00CC2503">
      <w:pPr>
        <w:pStyle w:val="ListParagraph"/>
        <w:numPr>
          <w:ilvl w:val="0"/>
          <w:numId w:val="1"/>
        </w:numPr>
        <w:autoSpaceDE w:val="0"/>
        <w:autoSpaceDN w:val="0"/>
        <w:adjustRightInd w:val="0"/>
        <w:spacing w:line="480" w:lineRule="auto"/>
        <w:ind w:left="927" w:right="567"/>
        <w:jc w:val="both"/>
        <w:rPr>
          <w:rFonts w:ascii="Times New Roman" w:hAnsi="Times New Roman" w:cs="Times New Roman"/>
          <w:sz w:val="24"/>
          <w:szCs w:val="24"/>
        </w:rPr>
      </w:pPr>
      <w:r w:rsidRPr="00692E5B">
        <w:rPr>
          <w:rFonts w:ascii="Times New Roman" w:hAnsi="Times New Roman" w:cs="Times New Roman"/>
          <w:sz w:val="24"/>
          <w:szCs w:val="24"/>
        </w:rPr>
        <w:t>quasi-public goods such as education and health research</w:t>
      </w:r>
    </w:p>
    <w:p w:rsidR="00470EC5" w:rsidRPr="00692E5B" w:rsidRDefault="00470EC5" w:rsidP="00CC2503">
      <w:pPr>
        <w:pStyle w:val="ListParagraph"/>
        <w:numPr>
          <w:ilvl w:val="0"/>
          <w:numId w:val="1"/>
        </w:numPr>
        <w:autoSpaceDE w:val="0"/>
        <w:autoSpaceDN w:val="0"/>
        <w:adjustRightInd w:val="0"/>
        <w:spacing w:line="480" w:lineRule="auto"/>
        <w:ind w:left="927" w:right="567"/>
        <w:jc w:val="both"/>
        <w:rPr>
          <w:rFonts w:ascii="Times New Roman" w:hAnsi="Times New Roman" w:cs="Times New Roman"/>
          <w:sz w:val="24"/>
          <w:szCs w:val="24"/>
        </w:rPr>
      </w:pPr>
      <w:r w:rsidRPr="00692E5B">
        <w:rPr>
          <w:rFonts w:ascii="Times New Roman" w:hAnsi="Times New Roman" w:cs="Times New Roman"/>
          <w:sz w:val="24"/>
          <w:szCs w:val="24"/>
        </w:rPr>
        <w:t>administering transfer payments through welfare or pension schemes.</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According to Wolf </w:t>
      </w:r>
      <w:r w:rsidRPr="00692E5B">
        <w:rPr>
          <w:rFonts w:ascii="Times New Roman" w:hAnsi="Times New Roman" w:cs="Times New Roman"/>
          <w:noProof/>
          <w:sz w:val="24"/>
          <w:szCs w:val="24"/>
        </w:rPr>
        <w:t>(1993, 65-89)</w:t>
      </w:r>
      <w:r w:rsidRPr="00692E5B">
        <w:rPr>
          <w:rFonts w:ascii="Times New Roman" w:hAnsi="Times New Roman" w:cs="Times New Roman"/>
          <w:sz w:val="24"/>
          <w:szCs w:val="24"/>
        </w:rPr>
        <w:t xml:space="preserve"> there are four major contributors to nonmarket failure. Firstly, when governments use public resources, the link between the cost of producing the output and the value of the nonmarket output is </w:t>
      </w:r>
      <w:r>
        <w:rPr>
          <w:rFonts w:ascii="Times New Roman" w:hAnsi="Times New Roman" w:cs="Times New Roman"/>
          <w:sz w:val="24"/>
          <w:szCs w:val="24"/>
        </w:rPr>
        <w:t>broken</w:t>
      </w:r>
      <w:r w:rsidRPr="00692E5B">
        <w:rPr>
          <w:rFonts w:ascii="Times New Roman" w:hAnsi="Times New Roman" w:cs="Times New Roman"/>
          <w:sz w:val="24"/>
          <w:szCs w:val="24"/>
        </w:rPr>
        <w:t>, unlike in market environments. Secondly, public sector organisations “require certain explicit standards” or internalities (p. 68-70) that are disconnected from the external price system resulting in inflated agency costs</w:t>
      </w:r>
      <w:r>
        <w:rPr>
          <w:rFonts w:ascii="Times New Roman" w:hAnsi="Times New Roman" w:cs="Times New Roman"/>
          <w:sz w:val="24"/>
          <w:szCs w:val="24"/>
        </w:rPr>
        <w:t>,</w:t>
      </w:r>
      <w:r w:rsidRPr="00692E5B">
        <w:rPr>
          <w:rFonts w:ascii="Times New Roman" w:hAnsi="Times New Roman" w:cs="Times New Roman"/>
          <w:sz w:val="24"/>
          <w:szCs w:val="24"/>
        </w:rPr>
        <w:t xml:space="preserve"> higher unit costs and lower levels of real nonmarket output, in other words, nonmarket failure. Thirdly, derived externalities are the unanticipated side effects of nonmarket activities </w:t>
      </w:r>
      <w:r w:rsidRPr="00692E5B">
        <w:rPr>
          <w:rFonts w:ascii="Times New Roman" w:hAnsi="Times New Roman" w:cs="Times New Roman"/>
          <w:sz w:val="24"/>
          <w:szCs w:val="24"/>
        </w:rPr>
        <w:lastRenderedPageBreak/>
        <w:t xml:space="preserve">and contribute to nonmarket failure because “they are not realised by the agency responsible for creating them, and hence do not affect the agency’s calculations or behaviour” (p. 80). Finally, Wolf argues that nonmarkets are just as subject to </w:t>
      </w:r>
      <w:r>
        <w:rPr>
          <w:rFonts w:ascii="Times New Roman" w:hAnsi="Times New Roman" w:cs="Times New Roman"/>
          <w:sz w:val="24"/>
          <w:szCs w:val="24"/>
        </w:rPr>
        <w:t xml:space="preserve">similar </w:t>
      </w:r>
      <w:r w:rsidRPr="00692E5B">
        <w:rPr>
          <w:rFonts w:ascii="Times New Roman" w:hAnsi="Times New Roman" w:cs="Times New Roman"/>
          <w:sz w:val="24"/>
          <w:szCs w:val="24"/>
        </w:rPr>
        <w:t xml:space="preserve">distributional inequities as </w:t>
      </w:r>
      <w:r>
        <w:rPr>
          <w:rFonts w:ascii="Times New Roman" w:hAnsi="Times New Roman" w:cs="Times New Roman"/>
          <w:sz w:val="24"/>
          <w:szCs w:val="24"/>
        </w:rPr>
        <w:t>found in</w:t>
      </w:r>
      <w:r w:rsidRPr="00692E5B">
        <w:rPr>
          <w:rFonts w:ascii="Times New Roman" w:hAnsi="Times New Roman" w:cs="Times New Roman"/>
          <w:sz w:val="24"/>
          <w:szCs w:val="24"/>
        </w:rPr>
        <w:t xml:space="preserve"> markets. These inequities can arise when well-organised and connected lobby groups achieve large public subsidies at the expense of other groups. One only has to look at the endless debate that pre-dates Kangan concerning </w:t>
      </w:r>
      <w:r>
        <w:rPr>
          <w:rFonts w:ascii="Times New Roman" w:hAnsi="Times New Roman" w:cs="Times New Roman"/>
          <w:sz w:val="24"/>
          <w:szCs w:val="24"/>
        </w:rPr>
        <w:t>lower</w:t>
      </w:r>
      <w:r w:rsidRPr="00692E5B">
        <w:rPr>
          <w:rFonts w:ascii="Times New Roman" w:hAnsi="Times New Roman" w:cs="Times New Roman"/>
          <w:sz w:val="24"/>
          <w:szCs w:val="24"/>
        </w:rPr>
        <w:t xml:space="preserve"> allocation</w:t>
      </w:r>
      <w:r>
        <w:rPr>
          <w:rFonts w:ascii="Times New Roman" w:hAnsi="Times New Roman" w:cs="Times New Roman"/>
          <w:sz w:val="24"/>
          <w:szCs w:val="24"/>
        </w:rPr>
        <w:t>s</w:t>
      </w:r>
      <w:r w:rsidRPr="00692E5B">
        <w:rPr>
          <w:rFonts w:ascii="Times New Roman" w:hAnsi="Times New Roman" w:cs="Times New Roman"/>
          <w:sz w:val="24"/>
          <w:szCs w:val="24"/>
        </w:rPr>
        <w:t xml:space="preserve"> of public funding to the vocational education and training sector</w:t>
      </w:r>
      <w:r>
        <w:rPr>
          <w:rFonts w:ascii="Times New Roman" w:hAnsi="Times New Roman" w:cs="Times New Roman"/>
          <w:sz w:val="24"/>
          <w:szCs w:val="24"/>
        </w:rPr>
        <w:t>,</w:t>
      </w:r>
      <w:r w:rsidRPr="00692E5B">
        <w:rPr>
          <w:rFonts w:ascii="Times New Roman" w:hAnsi="Times New Roman" w:cs="Times New Roman"/>
          <w:sz w:val="24"/>
          <w:szCs w:val="24"/>
        </w:rPr>
        <w:t xml:space="preserve"> when compared to schools and universities</w:t>
      </w:r>
      <w:r>
        <w:rPr>
          <w:rFonts w:ascii="Times New Roman" w:hAnsi="Times New Roman" w:cs="Times New Roman"/>
          <w:sz w:val="24"/>
          <w:szCs w:val="24"/>
        </w:rPr>
        <w:t>,</w:t>
      </w:r>
      <w:r w:rsidRPr="00692E5B">
        <w:rPr>
          <w:rFonts w:ascii="Times New Roman" w:hAnsi="Times New Roman" w:cs="Times New Roman"/>
          <w:sz w:val="24"/>
          <w:szCs w:val="24"/>
        </w:rPr>
        <w:t xml:space="preserve"> to see this type of nonmarket failure in action. Wolf </w:t>
      </w:r>
      <w:r w:rsidRPr="00692E5B">
        <w:rPr>
          <w:rFonts w:ascii="Times New Roman" w:hAnsi="Times New Roman" w:cs="Times New Roman"/>
          <w:noProof/>
          <w:sz w:val="24"/>
          <w:szCs w:val="24"/>
        </w:rPr>
        <w:t>(1993, 155)</w:t>
      </w:r>
      <w:r w:rsidRPr="00692E5B">
        <w:rPr>
          <w:rFonts w:ascii="Times New Roman" w:hAnsi="Times New Roman" w:cs="Times New Roman"/>
          <w:sz w:val="24"/>
          <w:szCs w:val="24"/>
        </w:rPr>
        <w:t xml:space="preserve"> concludes:</w:t>
      </w:r>
    </w:p>
    <w:p w:rsidR="00470EC5" w:rsidRPr="00692E5B" w:rsidRDefault="00470EC5" w:rsidP="00CC2503">
      <w:pPr>
        <w:autoSpaceDE w:val="0"/>
        <w:autoSpaceDN w:val="0"/>
        <w:adjustRightInd w:val="0"/>
        <w:spacing w:line="480" w:lineRule="auto"/>
        <w:ind w:left="567" w:right="567"/>
        <w:jc w:val="both"/>
        <w:rPr>
          <w:rFonts w:ascii="Times New Roman" w:hAnsi="Times New Roman" w:cs="Times New Roman"/>
          <w:sz w:val="24"/>
          <w:szCs w:val="24"/>
        </w:rPr>
      </w:pPr>
      <w:r w:rsidRPr="00692E5B">
        <w:rPr>
          <w:rFonts w:ascii="Times New Roman" w:hAnsi="Times New Roman" w:cs="Times New Roman"/>
          <w:sz w:val="24"/>
          <w:szCs w:val="24"/>
        </w:rPr>
        <w:t>The choice between markets and governments is complex, and it is usually not binary. Rather than being a pure choice between markets or governments, it is usually a choice between different combinations of the two, and different degrees of one or another mode of allocating resources.</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The current Australian public policies for the provision of vocational education and training clearly exhibit the inability or unwillingness of governments and society to pursue a fundamentalist option. While the risks of market failure in matters to do with ‘thin markets’ and equity are well articulated </w:t>
      </w:r>
      <w:r w:rsidRPr="00692E5B">
        <w:rPr>
          <w:rFonts w:ascii="Times New Roman" w:hAnsi="Times New Roman" w:cs="Times New Roman"/>
          <w:noProof/>
          <w:sz w:val="24"/>
          <w:szCs w:val="24"/>
        </w:rPr>
        <w:t>(for example see the European Centre for the Development of Vocational Training 2012, 17-18)</w:t>
      </w:r>
      <w:r w:rsidRPr="00692E5B">
        <w:rPr>
          <w:rFonts w:ascii="Times New Roman" w:hAnsi="Times New Roman" w:cs="Times New Roman"/>
          <w:sz w:val="24"/>
          <w:szCs w:val="24"/>
        </w:rPr>
        <w:t xml:space="preserve">, the case for nonmarket failure is less clearly argued and is frequently badged and rebadged as </w:t>
      </w:r>
      <w:r>
        <w:rPr>
          <w:rFonts w:ascii="Times New Roman" w:hAnsi="Times New Roman" w:cs="Times New Roman"/>
          <w:sz w:val="24"/>
          <w:szCs w:val="24"/>
        </w:rPr>
        <w:t>never-ending ‘reform’</w:t>
      </w:r>
      <w:r w:rsidRPr="00692E5B">
        <w:rPr>
          <w:rFonts w:ascii="Times New Roman" w:hAnsi="Times New Roman" w:cs="Times New Roman"/>
          <w:sz w:val="24"/>
          <w:szCs w:val="24"/>
        </w:rPr>
        <w:t xml:space="preserve"> because of vague notions to do with being industry-driven, more responsive, more transparent and of higher quality </w:t>
      </w:r>
      <w:r w:rsidRPr="00692E5B">
        <w:rPr>
          <w:rFonts w:ascii="Times New Roman" w:hAnsi="Times New Roman" w:cs="Times New Roman"/>
          <w:noProof/>
          <w:sz w:val="24"/>
          <w:szCs w:val="24"/>
        </w:rPr>
        <w:t>(Council of Australian Governments 2012)</w:t>
      </w:r>
      <w:r w:rsidRPr="00692E5B">
        <w:rPr>
          <w:rFonts w:ascii="Times New Roman" w:hAnsi="Times New Roman" w:cs="Times New Roman"/>
          <w:sz w:val="24"/>
          <w:szCs w:val="24"/>
        </w:rPr>
        <w:t xml:space="preserve">. The technology of government that binds this market-nonmarket </w:t>
      </w:r>
      <w:r>
        <w:rPr>
          <w:rFonts w:ascii="Times New Roman" w:hAnsi="Times New Roman" w:cs="Times New Roman"/>
          <w:sz w:val="24"/>
          <w:szCs w:val="24"/>
        </w:rPr>
        <w:t xml:space="preserve">training </w:t>
      </w:r>
      <w:r w:rsidRPr="00692E5B">
        <w:rPr>
          <w:rFonts w:ascii="Times New Roman" w:hAnsi="Times New Roman" w:cs="Times New Roman"/>
          <w:sz w:val="24"/>
          <w:szCs w:val="24"/>
        </w:rPr>
        <w:t>amalgam together is standardisation.</w:t>
      </w:r>
    </w:p>
    <w:p w:rsidR="00470EC5" w:rsidRPr="00692E5B" w:rsidRDefault="00470EC5" w:rsidP="00CC2503">
      <w:pPr>
        <w:autoSpaceDE w:val="0"/>
        <w:autoSpaceDN w:val="0"/>
        <w:adjustRightInd w:val="0"/>
        <w:spacing w:line="480" w:lineRule="auto"/>
        <w:rPr>
          <w:rFonts w:ascii="Times New Roman" w:hAnsi="Times New Roman" w:cs="Times New Roman"/>
          <w:sz w:val="24"/>
          <w:szCs w:val="24"/>
        </w:rPr>
      </w:pPr>
      <w:r w:rsidRPr="00692E5B">
        <w:rPr>
          <w:rFonts w:ascii="Times New Roman" w:hAnsi="Times New Roman" w:cs="Times New Roman"/>
          <w:b/>
          <w:sz w:val="24"/>
          <w:szCs w:val="24"/>
        </w:rPr>
        <w:t>Blending markets and standards</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The terms of reference for the Kangan review did not invite the examination of non-TAFE providers operating in an open training market or the issues of cost recovery through fees and </w:t>
      </w:r>
      <w:r w:rsidRPr="00692E5B">
        <w:rPr>
          <w:rFonts w:ascii="Times New Roman" w:hAnsi="Times New Roman" w:cs="Times New Roman"/>
          <w:sz w:val="24"/>
          <w:szCs w:val="24"/>
        </w:rPr>
        <w:lastRenderedPageBreak/>
        <w:t xml:space="preserve">charges. The issue of putting a price on training “was removed from the final terms of reference for the Kangan Committee” </w:t>
      </w:r>
      <w:r w:rsidRPr="00692E5B">
        <w:rPr>
          <w:rFonts w:ascii="Times New Roman" w:hAnsi="Times New Roman" w:cs="Times New Roman"/>
          <w:noProof/>
          <w:sz w:val="24"/>
          <w:szCs w:val="24"/>
        </w:rPr>
        <w:t>(Johnston in Kearns &amp; Hall 1994, 143)</w:t>
      </w:r>
      <w:r w:rsidRPr="00692E5B">
        <w:rPr>
          <w:rFonts w:ascii="Times New Roman" w:hAnsi="Times New Roman" w:cs="Times New Roman"/>
          <w:sz w:val="24"/>
          <w:szCs w:val="24"/>
        </w:rPr>
        <w:t>. In pursuit of the eternally optimistic outcomes sought by governments, the Kangan report strongly advocated</w:t>
      </w:r>
      <w:r>
        <w:rPr>
          <w:rFonts w:ascii="Times New Roman" w:hAnsi="Times New Roman" w:cs="Times New Roman"/>
          <w:sz w:val="24"/>
          <w:szCs w:val="24"/>
        </w:rPr>
        <w:t xml:space="preserve"> for the technology of standard-setting</w:t>
      </w:r>
      <w:r w:rsidRPr="00692E5B">
        <w:rPr>
          <w:rFonts w:ascii="Times New Roman" w:hAnsi="Times New Roman" w:cs="Times New Roman"/>
          <w:sz w:val="24"/>
          <w:szCs w:val="24"/>
        </w:rPr>
        <w:t xml:space="preserve"> to address the problems of the newly created training sector of education. In referring to the intended benefits that would result from the distribution of Commonwealth Government financial grants, the Kangan report </w:t>
      </w:r>
      <w:r w:rsidRPr="00692E5B">
        <w:rPr>
          <w:rFonts w:ascii="Times New Roman" w:hAnsi="Times New Roman" w:cs="Times New Roman"/>
          <w:noProof/>
          <w:sz w:val="24"/>
          <w:szCs w:val="24"/>
        </w:rPr>
        <w:t>(Australian Committee on Technical and Further Education 1974, xix)</w:t>
      </w:r>
      <w:r w:rsidRPr="00692E5B">
        <w:rPr>
          <w:rFonts w:ascii="Times New Roman" w:hAnsi="Times New Roman" w:cs="Times New Roman"/>
          <w:sz w:val="24"/>
          <w:szCs w:val="24"/>
        </w:rPr>
        <w:t xml:space="preserve"> </w:t>
      </w:r>
      <w:r>
        <w:rPr>
          <w:rFonts w:ascii="Times New Roman" w:hAnsi="Times New Roman" w:cs="Times New Roman"/>
          <w:sz w:val="24"/>
          <w:szCs w:val="24"/>
        </w:rPr>
        <w:t>speculated</w:t>
      </w:r>
      <w:r w:rsidRPr="00692E5B">
        <w:rPr>
          <w:rFonts w:ascii="Times New Roman" w:hAnsi="Times New Roman" w:cs="Times New Roman"/>
          <w:sz w:val="24"/>
          <w:szCs w:val="24"/>
        </w:rPr>
        <w:t>:</w:t>
      </w:r>
    </w:p>
    <w:p w:rsidR="00470EC5" w:rsidRPr="00692E5B" w:rsidRDefault="00470EC5" w:rsidP="00CC2503">
      <w:pPr>
        <w:autoSpaceDE w:val="0"/>
        <w:autoSpaceDN w:val="0"/>
        <w:adjustRightInd w:val="0"/>
        <w:spacing w:line="480" w:lineRule="auto"/>
        <w:ind w:left="567" w:right="567"/>
        <w:jc w:val="both"/>
        <w:rPr>
          <w:rFonts w:ascii="Times New Roman" w:hAnsi="Times New Roman" w:cs="Times New Roman"/>
          <w:sz w:val="24"/>
          <w:szCs w:val="24"/>
        </w:rPr>
      </w:pPr>
      <w:r w:rsidRPr="00692E5B">
        <w:rPr>
          <w:rFonts w:ascii="Times New Roman" w:hAnsi="Times New Roman" w:cs="Times New Roman"/>
          <w:sz w:val="24"/>
          <w:szCs w:val="24"/>
        </w:rPr>
        <w:t>Through such grants it is hoped that national standards for skill and accreditation will emerge, that the quality of existing accommodation and educational services will be raised to a standard which the community can accept as satisfactory, that learning environments can be developed through central resource centres and their satellites within individual institutions, that more libraries will become available, that personal help can be given to people through guidance and counselling services and that teachers can develop a new learning environment and can keep their knowledge up to date.</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Throughout the report, setting of national standards were recommended for virtually every problem facing the training sector and the use of public monies would be guided by the application of these standards. Successive state, territory and federal governments have enthusiastically embraced the</w:t>
      </w:r>
      <w:r>
        <w:rPr>
          <w:rFonts w:ascii="Times New Roman" w:hAnsi="Times New Roman" w:cs="Times New Roman"/>
          <w:sz w:val="24"/>
          <w:szCs w:val="24"/>
        </w:rPr>
        <w:t xml:space="preserve"> perceived benefits of standardisation</w:t>
      </w:r>
      <w:r w:rsidRPr="00692E5B">
        <w:rPr>
          <w:rFonts w:ascii="Times New Roman" w:hAnsi="Times New Roman" w:cs="Times New Roman"/>
          <w:sz w:val="24"/>
          <w:szCs w:val="24"/>
        </w:rPr>
        <w:t xml:space="preserve"> and applied them to the core operations of the training system.</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According to the Commonwealth Department of Industry </w:t>
      </w:r>
      <w:r w:rsidRPr="00692E5B">
        <w:rPr>
          <w:rFonts w:ascii="Times New Roman" w:hAnsi="Times New Roman" w:cs="Times New Roman"/>
          <w:noProof/>
          <w:sz w:val="24"/>
          <w:szCs w:val="24"/>
        </w:rPr>
        <w:t>(2014)</w:t>
      </w:r>
      <w:r w:rsidRPr="00692E5B">
        <w:rPr>
          <w:rFonts w:ascii="Times New Roman" w:hAnsi="Times New Roman" w:cs="Times New Roman"/>
          <w:sz w:val="24"/>
          <w:szCs w:val="24"/>
        </w:rPr>
        <w:t xml:space="preserve"> standardisation, and its fellow travellers of regulation, quality and competency, is an essential feature of the national training system. Currently major areas subject to standard-setting include: providing the mechanism with which to regulate the detailed operations all training providers and their staff, maintaining the integrity of qualifications through the Australian Qualifications Framework, identifying the required occupational skills competencies that form the basis of training packages, establishing the operations of VET regulators, setting out the requirements for education and training provision for overseas students, </w:t>
      </w:r>
      <w:r>
        <w:rPr>
          <w:rFonts w:ascii="Times New Roman" w:hAnsi="Times New Roman" w:cs="Times New Roman"/>
          <w:sz w:val="24"/>
          <w:szCs w:val="24"/>
        </w:rPr>
        <w:t>pres</w:t>
      </w:r>
      <w:r w:rsidRPr="00692E5B">
        <w:rPr>
          <w:rFonts w:ascii="Times New Roman" w:hAnsi="Times New Roman" w:cs="Times New Roman"/>
          <w:sz w:val="24"/>
          <w:szCs w:val="24"/>
        </w:rPr>
        <w:t xml:space="preserve">cribing mechanisms for national reporting requirements for total VET activity by all providers that issue a formal qualification and how to use the </w:t>
      </w:r>
      <w:r>
        <w:rPr>
          <w:rFonts w:ascii="Times New Roman" w:hAnsi="Times New Roman" w:cs="Times New Roman"/>
          <w:sz w:val="24"/>
          <w:szCs w:val="24"/>
        </w:rPr>
        <w:t xml:space="preserve">new </w:t>
      </w:r>
      <w:r w:rsidRPr="00692E5B">
        <w:rPr>
          <w:rFonts w:ascii="Times New Roman" w:hAnsi="Times New Roman" w:cs="Times New Roman"/>
          <w:sz w:val="24"/>
          <w:szCs w:val="24"/>
        </w:rPr>
        <w:t>Unique Student Identifier. The mutual recognition of skills in the licensed professions and of overseas qualifications is also subject to national standardisation. During the Rudd-Gillard Labor Government years, there was even a National Skills Standards Council that had set out an ambitious scheme to extend the use and scope of standardisation in vocational education and training</w:t>
      </w:r>
      <w:r>
        <w:rPr>
          <w:rFonts w:ascii="Times New Roman" w:hAnsi="Times New Roman" w:cs="Times New Roman"/>
          <w:sz w:val="24"/>
          <w:szCs w:val="24"/>
        </w:rPr>
        <w:t>.</w:t>
      </w:r>
      <w:r w:rsidRPr="00692E5B">
        <w:rPr>
          <w:rFonts w:ascii="Times New Roman" w:hAnsi="Times New Roman" w:cs="Times New Roman"/>
          <w:sz w:val="24"/>
          <w:szCs w:val="24"/>
        </w:rPr>
        <w:t xml:space="preserve"> While this council was disbanded by the Abbott Coalition Government, its functions were transferred to a department. </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The Kangan report had also noted the significance of gathering nationally consistent data that would report on the operations of the new training sector when it advocated for a national research centre to address “what at present is a virtual barren desert” </w:t>
      </w:r>
      <w:r w:rsidRPr="00692E5B">
        <w:rPr>
          <w:rFonts w:ascii="Times New Roman" w:hAnsi="Times New Roman" w:cs="Times New Roman"/>
          <w:noProof/>
          <w:sz w:val="24"/>
          <w:szCs w:val="24"/>
        </w:rPr>
        <w:t>(Australian Committee on Technical and Further Education 1974, xix)</w:t>
      </w:r>
      <w:r w:rsidRPr="00692E5B">
        <w:rPr>
          <w:rFonts w:ascii="Times New Roman" w:hAnsi="Times New Roman" w:cs="Times New Roman"/>
          <w:sz w:val="24"/>
          <w:szCs w:val="24"/>
        </w:rPr>
        <w:t>. In response that grand survivor of the training sector, the National Centre for Vocational Education Research, has come to provide the information required to make the various technologies of government operational through the mandated use of another standard – AVETMISS – the Australian Vocational Education and Training Management Information System Standard. This was “the first professional specification of information for vocational education in Australia and the world”</w:t>
      </w:r>
      <w:r>
        <w:rPr>
          <w:rFonts w:ascii="Times New Roman" w:hAnsi="Times New Roman" w:cs="Times New Roman"/>
          <w:sz w:val="24"/>
          <w:szCs w:val="24"/>
        </w:rPr>
        <w:t xml:space="preserve"> and</w:t>
      </w:r>
      <w:r w:rsidRPr="00692E5B">
        <w:rPr>
          <w:rFonts w:ascii="Times New Roman" w:hAnsi="Times New Roman" w:cs="Times New Roman"/>
          <w:sz w:val="24"/>
          <w:szCs w:val="24"/>
        </w:rPr>
        <w:t xml:space="preserve"> further exemplifies the local enthusiasm for this particular mechanism </w:t>
      </w:r>
      <w:r w:rsidRPr="00692E5B">
        <w:rPr>
          <w:rFonts w:ascii="Times New Roman" w:hAnsi="Times New Roman" w:cs="Times New Roman"/>
          <w:noProof/>
          <w:sz w:val="24"/>
          <w:szCs w:val="24"/>
        </w:rPr>
        <w:t>(Australian Committee on Vocational Education and Training Statistics 1993, foreword)</w:t>
      </w:r>
      <w:r w:rsidRPr="00692E5B">
        <w:rPr>
          <w:rFonts w:ascii="Times New Roman" w:hAnsi="Times New Roman" w:cs="Times New Roman"/>
          <w:sz w:val="24"/>
          <w:szCs w:val="24"/>
        </w:rPr>
        <w:t>. In keeping with Wolf’s observation of nonmarket internalities, the research used to support the proposed vocational training information standards contained 16 positive re</w:t>
      </w:r>
      <w:r>
        <w:rPr>
          <w:rFonts w:ascii="Times New Roman" w:hAnsi="Times New Roman" w:cs="Times New Roman"/>
          <w:sz w:val="24"/>
          <w:szCs w:val="24"/>
        </w:rPr>
        <w:t>sults</w:t>
      </w:r>
      <w:r w:rsidRPr="00692E5B">
        <w:rPr>
          <w:rFonts w:ascii="Times New Roman" w:hAnsi="Times New Roman" w:cs="Times New Roman"/>
          <w:sz w:val="24"/>
          <w:szCs w:val="24"/>
        </w:rPr>
        <w:t xml:space="preserve"> that were anticipated from standardisation</w:t>
      </w:r>
      <w:r>
        <w:rPr>
          <w:rFonts w:ascii="Times New Roman" w:hAnsi="Times New Roman" w:cs="Times New Roman"/>
          <w:sz w:val="24"/>
          <w:szCs w:val="24"/>
        </w:rPr>
        <w:t>. These included</w:t>
      </w:r>
      <w:r w:rsidRPr="00692E5B">
        <w:rPr>
          <w:rFonts w:ascii="Times New Roman" w:hAnsi="Times New Roman" w:cs="Times New Roman"/>
          <w:sz w:val="24"/>
          <w:szCs w:val="24"/>
        </w:rPr>
        <w:t xml:space="preserve"> national consistency, accuracy, total </w:t>
      </w:r>
      <w:r>
        <w:rPr>
          <w:rFonts w:ascii="Times New Roman" w:hAnsi="Times New Roman" w:cs="Times New Roman"/>
          <w:sz w:val="24"/>
          <w:szCs w:val="24"/>
        </w:rPr>
        <w:t xml:space="preserve">activity </w:t>
      </w:r>
      <w:r w:rsidRPr="00692E5B">
        <w:rPr>
          <w:rFonts w:ascii="Times New Roman" w:hAnsi="Times New Roman" w:cs="Times New Roman"/>
          <w:sz w:val="24"/>
          <w:szCs w:val="24"/>
        </w:rPr>
        <w:t>reporti</w:t>
      </w:r>
      <w:r>
        <w:rPr>
          <w:rFonts w:ascii="Times New Roman" w:hAnsi="Times New Roman" w:cs="Times New Roman"/>
          <w:sz w:val="24"/>
          <w:szCs w:val="24"/>
        </w:rPr>
        <w:t>ng and better informed planning.</w:t>
      </w:r>
      <w:r w:rsidRPr="00692E5B">
        <w:rPr>
          <w:rFonts w:ascii="Times New Roman" w:hAnsi="Times New Roman" w:cs="Times New Roman"/>
          <w:sz w:val="24"/>
          <w:szCs w:val="24"/>
        </w:rPr>
        <w:t xml:space="preserve"> </w:t>
      </w:r>
      <w:r>
        <w:rPr>
          <w:rFonts w:ascii="Times New Roman" w:hAnsi="Times New Roman" w:cs="Times New Roman"/>
          <w:sz w:val="24"/>
          <w:szCs w:val="24"/>
        </w:rPr>
        <w:t>On the other hand, not</w:t>
      </w:r>
      <w:r w:rsidRPr="00692E5B">
        <w:rPr>
          <w:rFonts w:ascii="Times New Roman" w:hAnsi="Times New Roman" w:cs="Times New Roman"/>
          <w:sz w:val="24"/>
          <w:szCs w:val="24"/>
        </w:rPr>
        <w:t xml:space="preserve"> a single negative potential outcome from introducing these specifications</w:t>
      </w:r>
      <w:r>
        <w:rPr>
          <w:rFonts w:ascii="Times New Roman" w:hAnsi="Times New Roman" w:cs="Times New Roman"/>
          <w:sz w:val="24"/>
          <w:szCs w:val="24"/>
        </w:rPr>
        <w:t xml:space="preserve"> was listed, ignoring things such as the</w:t>
      </w:r>
      <w:r w:rsidRPr="00692E5B">
        <w:rPr>
          <w:rFonts w:ascii="Times New Roman" w:hAnsi="Times New Roman" w:cs="Times New Roman"/>
          <w:sz w:val="24"/>
          <w:szCs w:val="24"/>
        </w:rPr>
        <w:t xml:space="preserve"> cost</w:t>
      </w:r>
      <w:r>
        <w:rPr>
          <w:rFonts w:ascii="Times New Roman" w:hAnsi="Times New Roman" w:cs="Times New Roman"/>
          <w:sz w:val="24"/>
          <w:szCs w:val="24"/>
        </w:rPr>
        <w:t>s</w:t>
      </w:r>
      <w:r w:rsidRPr="00692E5B">
        <w:rPr>
          <w:rFonts w:ascii="Times New Roman" w:hAnsi="Times New Roman" w:cs="Times New Roman"/>
          <w:sz w:val="24"/>
          <w:szCs w:val="24"/>
        </w:rPr>
        <w:t xml:space="preserve"> of compliance and systems maintenance </w:t>
      </w:r>
      <w:r w:rsidRPr="00692E5B">
        <w:rPr>
          <w:rFonts w:ascii="Times New Roman" w:hAnsi="Times New Roman" w:cs="Times New Roman"/>
          <w:noProof/>
          <w:sz w:val="24"/>
          <w:szCs w:val="24"/>
        </w:rPr>
        <w:t>(Australian Committee on Vocational Education and Training Statistics 1993, 8-9)</w:t>
      </w:r>
      <w:r w:rsidRPr="00692E5B">
        <w:rPr>
          <w:rFonts w:ascii="Times New Roman" w:hAnsi="Times New Roman" w:cs="Times New Roman"/>
          <w:sz w:val="24"/>
          <w:szCs w:val="24"/>
        </w:rPr>
        <w:t>.</w:t>
      </w:r>
    </w:p>
    <w:p w:rsidR="00470EC5"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The intersection of markets and standards in Australian vocational education and training commenced and maintained a symbiotic relationship. There is evidence that there were marketplace purchaser-provider relationships developing as early as 1981</w:t>
      </w:r>
      <w:r>
        <w:rPr>
          <w:rFonts w:ascii="Times New Roman" w:hAnsi="Times New Roman" w:cs="Times New Roman"/>
          <w:sz w:val="24"/>
          <w:szCs w:val="24"/>
        </w:rPr>
        <w:t>,</w:t>
      </w:r>
      <w:r w:rsidRPr="00692E5B">
        <w:rPr>
          <w:rFonts w:ascii="Times New Roman" w:hAnsi="Times New Roman" w:cs="Times New Roman"/>
          <w:sz w:val="24"/>
          <w:szCs w:val="24"/>
        </w:rPr>
        <w:t xml:space="preserve"> when the Commonwealth Department of Employment and Industrial Relations “began buying programs from TAFE on a fee-for-service basis” </w:t>
      </w:r>
      <w:r w:rsidRPr="00692E5B">
        <w:rPr>
          <w:rFonts w:ascii="Times New Roman" w:hAnsi="Times New Roman" w:cs="Times New Roman"/>
          <w:noProof/>
          <w:sz w:val="24"/>
          <w:szCs w:val="24"/>
        </w:rPr>
        <w:t>(Goozee 2001, 53)</w:t>
      </w:r>
      <w:r w:rsidRPr="00692E5B">
        <w:rPr>
          <w:rFonts w:ascii="Times New Roman" w:hAnsi="Times New Roman" w:cs="Times New Roman"/>
          <w:sz w:val="24"/>
          <w:szCs w:val="24"/>
        </w:rPr>
        <w:t xml:space="preserve">. </w:t>
      </w:r>
      <w:r>
        <w:rPr>
          <w:rFonts w:ascii="Times New Roman" w:hAnsi="Times New Roman" w:cs="Times New Roman"/>
          <w:sz w:val="24"/>
          <w:szCs w:val="24"/>
        </w:rPr>
        <w:t>T</w:t>
      </w:r>
      <w:r w:rsidRPr="00692E5B">
        <w:rPr>
          <w:rFonts w:ascii="Times New Roman" w:hAnsi="Times New Roman" w:cs="Times New Roman"/>
          <w:sz w:val="24"/>
          <w:szCs w:val="24"/>
        </w:rPr>
        <w:t>his had grown to nine Commonwealth agencies funding TAFE programs</w:t>
      </w:r>
      <w:r>
        <w:rPr>
          <w:rFonts w:ascii="Times New Roman" w:hAnsi="Times New Roman" w:cs="Times New Roman"/>
          <w:sz w:val="24"/>
          <w:szCs w:val="24"/>
        </w:rPr>
        <w:t xml:space="preserve"> in 1984. </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By the early 1990s  Lundberg </w:t>
      </w:r>
      <w:r w:rsidRPr="00692E5B">
        <w:rPr>
          <w:rFonts w:ascii="Times New Roman" w:hAnsi="Times New Roman" w:cs="Times New Roman"/>
          <w:noProof/>
          <w:sz w:val="24"/>
          <w:szCs w:val="24"/>
        </w:rPr>
        <w:t>(1996, 84)</w:t>
      </w:r>
      <w:r w:rsidRPr="00692E5B">
        <w:rPr>
          <w:rFonts w:ascii="Times New Roman" w:hAnsi="Times New Roman" w:cs="Times New Roman"/>
          <w:sz w:val="24"/>
          <w:szCs w:val="24"/>
        </w:rPr>
        <w:t xml:space="preserve"> states that “while the views of some involved in education might suggest otherwise, the market for education and training services is a structural reality rather than a policy option” and the only real decisions revolved around the appropriate balance of market and nonmarket provision. Lundberg also notes the pivotal position that had been allocated to developing and using nationally consistent standards, particularly competency standards, in the rapidly evolving training market. After all, “in the training market, competencies (standards) function as the skills currency: the measure of the value of skilled labour” </w:t>
      </w:r>
      <w:r w:rsidRPr="00692E5B">
        <w:rPr>
          <w:rFonts w:ascii="Times New Roman" w:hAnsi="Times New Roman" w:cs="Times New Roman"/>
          <w:noProof/>
          <w:sz w:val="24"/>
          <w:szCs w:val="24"/>
        </w:rPr>
        <w:t>(Marginson 1993, 153)</w:t>
      </w:r>
      <w:r w:rsidRPr="00692E5B">
        <w:rPr>
          <w:rFonts w:ascii="Times New Roman" w:hAnsi="Times New Roman" w:cs="Times New Roman"/>
          <w:sz w:val="24"/>
          <w:szCs w:val="24"/>
        </w:rPr>
        <w:t>.</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Federal Minister </w:t>
      </w:r>
      <w:r w:rsidRPr="00692E5B">
        <w:rPr>
          <w:rFonts w:ascii="Times New Roman" w:hAnsi="Times New Roman" w:cs="Times New Roman"/>
          <w:sz w:val="24"/>
          <w:szCs w:val="24"/>
        </w:rPr>
        <w:t xml:space="preserve">Dawkins aided and abetted joining the technology of standards with an open training market when he wrote to state and territory ministers with responsibility for training in October 1990 giving his response to the Deveson report, describing it “as a significant milestone on the path of reform along which we have been moving over the last three years” </w:t>
      </w:r>
      <w:r w:rsidRPr="00692E5B">
        <w:rPr>
          <w:rFonts w:ascii="Times New Roman" w:hAnsi="Times New Roman" w:cs="Times New Roman"/>
          <w:noProof/>
          <w:sz w:val="24"/>
          <w:szCs w:val="24"/>
        </w:rPr>
        <w:t>(Northern Territory Archives Service 1985-1990)</w:t>
      </w:r>
      <w:r w:rsidRPr="00692E5B">
        <w:rPr>
          <w:rFonts w:ascii="Times New Roman" w:hAnsi="Times New Roman" w:cs="Times New Roman"/>
          <w:sz w:val="24"/>
          <w:szCs w:val="24"/>
        </w:rPr>
        <w:t xml:space="preserve">. He indicated his support for “an open training market in which TAFE must lose is monopoly position in respect of many aspects of training”. He then outlined the areas he felt would </w:t>
      </w:r>
      <w:r>
        <w:rPr>
          <w:rFonts w:ascii="Times New Roman" w:hAnsi="Times New Roman" w:cs="Times New Roman"/>
          <w:sz w:val="24"/>
          <w:szCs w:val="24"/>
        </w:rPr>
        <w:t xml:space="preserve">further </w:t>
      </w:r>
      <w:r w:rsidRPr="00692E5B">
        <w:rPr>
          <w:rFonts w:ascii="Times New Roman" w:hAnsi="Times New Roman" w:cs="Times New Roman"/>
          <w:sz w:val="24"/>
          <w:szCs w:val="24"/>
        </w:rPr>
        <w:t xml:space="preserve">contribute to these training market reforms through the application of standards, including setting skill competencies, national core curriculum, accreditation, certification, articulation, support for capital infrastructure and regulation of both public and private training providers. </w:t>
      </w:r>
    </w:p>
    <w:p w:rsidR="00470EC5" w:rsidRPr="00692E5B" w:rsidRDefault="00470EC5" w:rsidP="00CC2503">
      <w:pPr>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Findings and discussion on the significance of standards</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Marginson </w:t>
      </w:r>
      <w:r w:rsidRPr="00692E5B">
        <w:rPr>
          <w:rFonts w:ascii="Times New Roman" w:hAnsi="Times New Roman" w:cs="Times New Roman"/>
          <w:noProof/>
          <w:sz w:val="24"/>
          <w:szCs w:val="24"/>
        </w:rPr>
        <w:t>(1993, 152)</w:t>
      </w:r>
      <w:r w:rsidRPr="00692E5B">
        <w:rPr>
          <w:rFonts w:ascii="Times New Roman" w:hAnsi="Times New Roman" w:cs="Times New Roman"/>
          <w:sz w:val="24"/>
          <w:szCs w:val="24"/>
        </w:rPr>
        <w:t xml:space="preserve"> reports that even from the mid-1980s the Organisation for Economic Cooperation and Development saw standards as both</w:t>
      </w:r>
    </w:p>
    <w:p w:rsidR="00470EC5" w:rsidRPr="00692E5B" w:rsidRDefault="00470EC5" w:rsidP="00CC2503">
      <w:pPr>
        <w:autoSpaceDE w:val="0"/>
        <w:autoSpaceDN w:val="0"/>
        <w:adjustRightInd w:val="0"/>
        <w:spacing w:line="480" w:lineRule="auto"/>
        <w:ind w:left="567" w:right="567"/>
        <w:jc w:val="both"/>
        <w:rPr>
          <w:rFonts w:ascii="Times New Roman" w:hAnsi="Times New Roman" w:cs="Times New Roman"/>
          <w:sz w:val="24"/>
          <w:szCs w:val="24"/>
        </w:rPr>
      </w:pPr>
      <w:r w:rsidRPr="00692E5B">
        <w:rPr>
          <w:rFonts w:ascii="Times New Roman" w:hAnsi="Times New Roman" w:cs="Times New Roman"/>
          <w:sz w:val="24"/>
          <w:szCs w:val="24"/>
        </w:rPr>
        <w:t xml:space="preserve">‘an instrument for classifying and identifying skills’ and the basis for measuring performance. ‘Standardised skill measurement and credentials are potentially useful for both on-the-job and institutional training, as well as for independent providers of courses in private markets’. </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In Europe standardisation has been identified as “a key instrument” in supporting the operation of a single market because 33 national standards can be replaced</w:t>
      </w:r>
      <w:r>
        <w:rPr>
          <w:rFonts w:ascii="Times New Roman" w:hAnsi="Times New Roman" w:cs="Times New Roman"/>
          <w:sz w:val="24"/>
          <w:szCs w:val="24"/>
        </w:rPr>
        <w:t xml:space="preserve"> by one, facilitating</w:t>
      </w:r>
      <w:r w:rsidRPr="00692E5B">
        <w:rPr>
          <w:rFonts w:ascii="Times New Roman" w:hAnsi="Times New Roman" w:cs="Times New Roman"/>
          <w:sz w:val="24"/>
          <w:szCs w:val="24"/>
        </w:rPr>
        <w:t xml:space="preserve"> cross-border trade </w:t>
      </w:r>
      <w:r w:rsidRPr="00692E5B">
        <w:rPr>
          <w:rFonts w:ascii="Times New Roman" w:hAnsi="Times New Roman" w:cs="Times New Roman"/>
          <w:noProof/>
          <w:sz w:val="24"/>
          <w:szCs w:val="24"/>
        </w:rPr>
        <w:t>(European Committee for Standardisation 2014)</w:t>
      </w:r>
      <w:r w:rsidRPr="00692E5B">
        <w:rPr>
          <w:rFonts w:ascii="Times New Roman" w:hAnsi="Times New Roman" w:cs="Times New Roman"/>
          <w:sz w:val="24"/>
          <w:szCs w:val="24"/>
        </w:rPr>
        <w:t xml:space="preserve">. As another example of the optimistic nature of those who advocate for the technologies of government described by Miller and Rose </w:t>
      </w:r>
      <w:r w:rsidRPr="00692E5B">
        <w:rPr>
          <w:rFonts w:ascii="Times New Roman" w:hAnsi="Times New Roman" w:cs="Times New Roman"/>
          <w:noProof/>
          <w:sz w:val="24"/>
          <w:szCs w:val="24"/>
        </w:rPr>
        <w:t>(2008)</w:t>
      </w:r>
      <w:r>
        <w:rPr>
          <w:rFonts w:ascii="Times New Roman" w:hAnsi="Times New Roman" w:cs="Times New Roman"/>
          <w:sz w:val="24"/>
          <w:szCs w:val="24"/>
        </w:rPr>
        <w:t>, t</w:t>
      </w:r>
      <w:r w:rsidRPr="00692E5B">
        <w:rPr>
          <w:rFonts w:ascii="Times New Roman" w:hAnsi="Times New Roman" w:cs="Times New Roman"/>
          <w:sz w:val="24"/>
          <w:szCs w:val="24"/>
        </w:rPr>
        <w:t xml:space="preserve">he European Committee for Standardisation </w:t>
      </w:r>
      <w:r w:rsidRPr="00692E5B">
        <w:rPr>
          <w:rFonts w:ascii="Times New Roman" w:hAnsi="Times New Roman" w:cs="Times New Roman"/>
          <w:noProof/>
          <w:sz w:val="24"/>
          <w:szCs w:val="24"/>
        </w:rPr>
        <w:t>(2014)</w:t>
      </w:r>
      <w:r w:rsidRPr="00692E5B">
        <w:rPr>
          <w:rFonts w:ascii="Times New Roman" w:hAnsi="Times New Roman" w:cs="Times New Roman"/>
          <w:sz w:val="24"/>
          <w:szCs w:val="24"/>
        </w:rPr>
        <w:t xml:space="preserve"> can only see benefits from setting out specifications for a wide variety of products, materials, services and processes because </w:t>
      </w:r>
      <w:r>
        <w:rPr>
          <w:rFonts w:ascii="Times New Roman" w:hAnsi="Times New Roman" w:cs="Times New Roman"/>
          <w:sz w:val="24"/>
          <w:szCs w:val="24"/>
        </w:rPr>
        <w:t>it</w:t>
      </w:r>
      <w:r w:rsidRPr="00692E5B">
        <w:rPr>
          <w:rFonts w:ascii="Times New Roman" w:hAnsi="Times New Roman" w:cs="Times New Roman"/>
          <w:sz w:val="24"/>
          <w:szCs w:val="24"/>
        </w:rPr>
        <w:t xml:space="preserve"> provide</w:t>
      </w:r>
      <w:r>
        <w:rPr>
          <w:rFonts w:ascii="Times New Roman" w:hAnsi="Times New Roman" w:cs="Times New Roman"/>
          <w:sz w:val="24"/>
          <w:szCs w:val="24"/>
        </w:rPr>
        <w:t>s</w:t>
      </w:r>
      <w:r w:rsidRPr="00692E5B">
        <w:rPr>
          <w:rFonts w:ascii="Times New Roman" w:hAnsi="Times New Roman" w:cs="Times New Roman"/>
          <w:sz w:val="24"/>
          <w:szCs w:val="24"/>
        </w:rPr>
        <w:t xml:space="preserve"> the basis for mutual understanding and facilitate</w:t>
      </w:r>
      <w:r>
        <w:rPr>
          <w:rFonts w:ascii="Times New Roman" w:hAnsi="Times New Roman" w:cs="Times New Roman"/>
          <w:sz w:val="24"/>
          <w:szCs w:val="24"/>
        </w:rPr>
        <w:t>s</w:t>
      </w:r>
      <w:r w:rsidRPr="00692E5B">
        <w:rPr>
          <w:rFonts w:ascii="Times New Roman" w:hAnsi="Times New Roman" w:cs="Times New Roman"/>
          <w:sz w:val="24"/>
          <w:szCs w:val="24"/>
        </w:rPr>
        <w:t xml:space="preserve"> communication among individuals, business, public authorities and other kinds of organisations. As with all government technologies, this European standardisation project is made operational by teams of technical experts in order to deliver technological, economic, societal benefits including consumer protection. In common with those specialists who developed AVETMISS, not a single negative impact from European standardisation is canvassed </w:t>
      </w:r>
      <w:r w:rsidRPr="00692E5B">
        <w:rPr>
          <w:rFonts w:ascii="Times New Roman" w:hAnsi="Times New Roman" w:cs="Times New Roman"/>
          <w:noProof/>
          <w:sz w:val="24"/>
          <w:szCs w:val="24"/>
        </w:rPr>
        <w:t>(European Committee for Standardisation 2014)</w:t>
      </w:r>
      <w:r w:rsidRPr="00692E5B">
        <w:rPr>
          <w:rFonts w:ascii="Times New Roman" w:hAnsi="Times New Roman" w:cs="Times New Roman"/>
          <w:sz w:val="24"/>
          <w:szCs w:val="24"/>
        </w:rPr>
        <w:t>.</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One of the most prominent benefits </w:t>
      </w:r>
      <w:r>
        <w:rPr>
          <w:rFonts w:ascii="Times New Roman" w:hAnsi="Times New Roman" w:cs="Times New Roman"/>
          <w:sz w:val="24"/>
          <w:szCs w:val="24"/>
        </w:rPr>
        <w:t>attributed to</w:t>
      </w:r>
      <w:r w:rsidRPr="00692E5B">
        <w:rPr>
          <w:rFonts w:ascii="Times New Roman" w:hAnsi="Times New Roman" w:cs="Times New Roman"/>
          <w:sz w:val="24"/>
          <w:szCs w:val="24"/>
        </w:rPr>
        <w:t xml:space="preserve"> standardisation is its crucial role in facilitating operations and processes that operate in multiple jurisdictions. The Kangan report was expected to recommend a means to deal with “the confusion of institutional eccentricity” represented by the chronically disparate State training systems </w:t>
      </w:r>
      <w:r>
        <w:rPr>
          <w:rFonts w:ascii="Times New Roman" w:hAnsi="Times New Roman" w:cs="Times New Roman"/>
          <w:sz w:val="24"/>
          <w:szCs w:val="24"/>
        </w:rPr>
        <w:t xml:space="preserve">that </w:t>
      </w:r>
      <w:r w:rsidRPr="00692E5B">
        <w:rPr>
          <w:rFonts w:ascii="Times New Roman" w:hAnsi="Times New Roman" w:cs="Times New Roman"/>
          <w:sz w:val="24"/>
          <w:szCs w:val="24"/>
        </w:rPr>
        <w:t xml:space="preserve">were producing neither the number of skilled workers nor the right skills for a national economy facing a global trading market driven by rapid advances in technologies </w:t>
      </w:r>
      <w:r w:rsidRPr="00692E5B">
        <w:rPr>
          <w:rFonts w:ascii="Times New Roman" w:hAnsi="Times New Roman" w:cs="Times New Roman"/>
          <w:noProof/>
          <w:sz w:val="24"/>
          <w:szCs w:val="24"/>
        </w:rPr>
        <w:t>(Whitelock 1974, 269)</w:t>
      </w:r>
      <w:r w:rsidRPr="00692E5B">
        <w:rPr>
          <w:rFonts w:ascii="Times New Roman" w:hAnsi="Times New Roman" w:cs="Times New Roman"/>
          <w:sz w:val="24"/>
          <w:szCs w:val="24"/>
        </w:rPr>
        <w:t xml:space="preserve">. The review committee believed that national standardisation could </w:t>
      </w:r>
      <w:r>
        <w:rPr>
          <w:rFonts w:ascii="Times New Roman" w:hAnsi="Times New Roman" w:cs="Times New Roman"/>
          <w:sz w:val="24"/>
          <w:szCs w:val="24"/>
        </w:rPr>
        <w:t>fulfil</w:t>
      </w:r>
      <w:r w:rsidRPr="00692E5B">
        <w:rPr>
          <w:rFonts w:ascii="Times New Roman" w:hAnsi="Times New Roman" w:cs="Times New Roman"/>
          <w:sz w:val="24"/>
          <w:szCs w:val="24"/>
        </w:rPr>
        <w:t xml:space="preserve"> this need to work across state borders, as have the Europeans more recently. An unanticipated outcome of the wide application of standardisation</w:t>
      </w:r>
      <w:r>
        <w:rPr>
          <w:rFonts w:ascii="Times New Roman" w:hAnsi="Times New Roman" w:cs="Times New Roman"/>
          <w:sz w:val="24"/>
          <w:szCs w:val="24"/>
        </w:rPr>
        <w:t xml:space="preserve"> advocated in the Kangan report</w:t>
      </w:r>
      <w:r w:rsidRPr="00692E5B">
        <w:rPr>
          <w:rFonts w:ascii="Times New Roman" w:hAnsi="Times New Roman" w:cs="Times New Roman"/>
          <w:sz w:val="24"/>
          <w:szCs w:val="24"/>
        </w:rPr>
        <w:t xml:space="preserve"> was the creation of a precursor of training markets. Standards can simultaneously regulate, as well as catalyse, market behaviour.</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While not discounting the intensely political nature of the historical events that have constructed the national training system, it is clear that the Kangan report’s advocacy for national training standards has produced a seemingly inexorable, bi-partisan policy position in support of </w:t>
      </w:r>
      <w:r>
        <w:rPr>
          <w:rFonts w:ascii="Times New Roman" w:hAnsi="Times New Roman" w:cs="Times New Roman"/>
          <w:sz w:val="24"/>
          <w:szCs w:val="24"/>
        </w:rPr>
        <w:t xml:space="preserve">an </w:t>
      </w:r>
      <w:r w:rsidRPr="00692E5B">
        <w:rPr>
          <w:rFonts w:ascii="Times New Roman" w:hAnsi="Times New Roman" w:cs="Times New Roman"/>
          <w:sz w:val="24"/>
          <w:szCs w:val="24"/>
        </w:rPr>
        <w:t xml:space="preserve">open, contestable market for the provision of vocational education and training in Australia. An extraordinary level of expert advice and system design has been dedicated to developing the standards that now define and regulate the contemporary balance between market and nonmarket forces – the training </w:t>
      </w:r>
      <w:r>
        <w:rPr>
          <w:rFonts w:ascii="Times New Roman" w:hAnsi="Times New Roman" w:cs="Times New Roman"/>
          <w:sz w:val="24"/>
          <w:szCs w:val="24"/>
        </w:rPr>
        <w:t>‘</w:t>
      </w:r>
      <w:r w:rsidRPr="00692E5B">
        <w:rPr>
          <w:rFonts w:ascii="Times New Roman" w:hAnsi="Times New Roman" w:cs="Times New Roman"/>
          <w:sz w:val="24"/>
          <w:szCs w:val="24"/>
        </w:rPr>
        <w:t>quasi-market</w:t>
      </w:r>
      <w:r>
        <w:rPr>
          <w:rFonts w:ascii="Times New Roman" w:hAnsi="Times New Roman" w:cs="Times New Roman"/>
          <w:sz w:val="24"/>
          <w:szCs w:val="24"/>
        </w:rPr>
        <w:t>’</w:t>
      </w:r>
      <w:r w:rsidRPr="00692E5B">
        <w:rPr>
          <w:rFonts w:ascii="Times New Roman" w:hAnsi="Times New Roman" w:cs="Times New Roman"/>
          <w:sz w:val="24"/>
          <w:szCs w:val="24"/>
        </w:rPr>
        <w:t xml:space="preserve"> </w:t>
      </w:r>
      <w:r w:rsidRPr="00692E5B">
        <w:rPr>
          <w:rFonts w:ascii="Times New Roman" w:hAnsi="Times New Roman" w:cs="Times New Roman"/>
          <w:noProof/>
          <w:sz w:val="24"/>
          <w:szCs w:val="24"/>
        </w:rPr>
        <w:t>(Fitzgerald 1998)</w:t>
      </w:r>
      <w:r w:rsidRPr="00692E5B">
        <w:rPr>
          <w:rFonts w:ascii="Times New Roman" w:hAnsi="Times New Roman" w:cs="Times New Roman"/>
          <w:sz w:val="24"/>
          <w:szCs w:val="24"/>
        </w:rPr>
        <w:t>.</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In describing the principles of good design, Norman </w:t>
      </w:r>
      <w:r w:rsidRPr="00692E5B">
        <w:rPr>
          <w:rFonts w:ascii="Times New Roman" w:hAnsi="Times New Roman" w:cs="Times New Roman"/>
          <w:noProof/>
          <w:sz w:val="24"/>
          <w:szCs w:val="24"/>
        </w:rPr>
        <w:t>(1990, 200-202)</w:t>
      </w:r>
      <w:r w:rsidRPr="00692E5B">
        <w:rPr>
          <w:rFonts w:ascii="Times New Roman" w:hAnsi="Times New Roman" w:cs="Times New Roman"/>
          <w:sz w:val="24"/>
          <w:szCs w:val="24"/>
        </w:rPr>
        <w:t xml:space="preserve"> lists both the benefits and, unlike the ever-optimistic expert proponents of government technologies, the pitfalls of standardisation. On the positive side of the ledger, standardised processes and mechanisms:</w:t>
      </w:r>
    </w:p>
    <w:p w:rsidR="00470EC5" w:rsidRPr="00692E5B" w:rsidRDefault="00470EC5" w:rsidP="00CC2503">
      <w:pPr>
        <w:pStyle w:val="ListParagraph"/>
        <w:numPr>
          <w:ilvl w:val="0"/>
          <w:numId w:val="2"/>
        </w:num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only have to be learnt once</w:t>
      </w:r>
    </w:p>
    <w:p w:rsidR="00470EC5" w:rsidRPr="00692E5B" w:rsidRDefault="00470EC5" w:rsidP="00CC2503">
      <w:pPr>
        <w:pStyle w:val="ListParagraph"/>
        <w:numPr>
          <w:ilvl w:val="0"/>
          <w:numId w:val="2"/>
        </w:num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encourage consistency</w:t>
      </w:r>
    </w:p>
    <w:p w:rsidR="00470EC5" w:rsidRPr="00692E5B" w:rsidRDefault="00470EC5" w:rsidP="00CC2503">
      <w:pPr>
        <w:pStyle w:val="ListParagraph"/>
        <w:numPr>
          <w:ilvl w:val="0"/>
          <w:numId w:val="2"/>
        </w:num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minimise the need for planning and problem-solving</w:t>
      </w:r>
      <w:r>
        <w:rPr>
          <w:rFonts w:ascii="Times New Roman" w:hAnsi="Times New Roman" w:cs="Times New Roman"/>
          <w:sz w:val="24"/>
          <w:szCs w:val="24"/>
        </w:rPr>
        <w:t xml:space="preserve"> and</w:t>
      </w:r>
    </w:p>
    <w:p w:rsidR="00470EC5" w:rsidRPr="00692E5B" w:rsidRDefault="00470EC5" w:rsidP="00CC2503">
      <w:pPr>
        <w:pStyle w:val="ListParagraph"/>
        <w:numPr>
          <w:ilvl w:val="0"/>
          <w:numId w:val="2"/>
        </w:num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allow for </w:t>
      </w:r>
      <w:r>
        <w:rPr>
          <w:rFonts w:ascii="Times New Roman" w:hAnsi="Times New Roman" w:cs="Times New Roman"/>
          <w:sz w:val="24"/>
          <w:szCs w:val="24"/>
        </w:rPr>
        <w:t>major improvements in usability.</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In the negative column:</w:t>
      </w:r>
    </w:p>
    <w:p w:rsidR="00470EC5" w:rsidRPr="00692E5B" w:rsidRDefault="00470EC5" w:rsidP="00CC2503">
      <w:pPr>
        <w:pStyle w:val="ListParagraph"/>
        <w:numPr>
          <w:ilvl w:val="0"/>
          <w:numId w:val="3"/>
        </w:num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standards can be imposed too soon and miss out on the latest technologies</w:t>
      </w:r>
      <w:r>
        <w:rPr>
          <w:rFonts w:ascii="Times New Roman" w:hAnsi="Times New Roman" w:cs="Times New Roman"/>
          <w:sz w:val="24"/>
          <w:szCs w:val="24"/>
        </w:rPr>
        <w:t xml:space="preserve"> or even lock systems into primitive technologies</w:t>
      </w:r>
    </w:p>
    <w:p w:rsidR="00470EC5" w:rsidRPr="00692E5B" w:rsidRDefault="00470EC5" w:rsidP="00CC2503">
      <w:pPr>
        <w:pStyle w:val="ListParagraph"/>
        <w:numPr>
          <w:ilvl w:val="0"/>
          <w:numId w:val="3"/>
        </w:num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can be expensive to amalgamate or eliminate altogether</w:t>
      </w:r>
    </w:p>
    <w:p w:rsidR="00470EC5" w:rsidRDefault="00470EC5" w:rsidP="00CC2503">
      <w:pPr>
        <w:pStyle w:val="ListParagraph"/>
        <w:numPr>
          <w:ilvl w:val="0"/>
          <w:numId w:val="3"/>
        </w:num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users often require extensive training</w:t>
      </w:r>
    </w:p>
    <w:p w:rsidR="00470EC5" w:rsidRPr="009200B9" w:rsidRDefault="00470EC5" w:rsidP="00CC2503">
      <w:pPr>
        <w:pStyle w:val="ListParagraph"/>
        <w:numPr>
          <w:ilvl w:val="0"/>
          <w:numId w:val="3"/>
        </w:num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if implemented too late, gives rise to </w:t>
      </w:r>
      <w:r>
        <w:rPr>
          <w:rFonts w:ascii="Times New Roman" w:hAnsi="Times New Roman" w:cs="Times New Roman"/>
          <w:sz w:val="24"/>
          <w:szCs w:val="24"/>
        </w:rPr>
        <w:t xml:space="preserve">irreconcilable multiple systems </w:t>
      </w:r>
      <w:r w:rsidRPr="009200B9">
        <w:rPr>
          <w:rFonts w:ascii="Times New Roman" w:hAnsi="Times New Roman" w:cs="Times New Roman"/>
          <w:sz w:val="24"/>
          <w:szCs w:val="24"/>
        </w:rPr>
        <w:t>and</w:t>
      </w:r>
    </w:p>
    <w:p w:rsidR="00470EC5" w:rsidRPr="00692E5B" w:rsidRDefault="00470EC5" w:rsidP="00CC2503">
      <w:pPr>
        <w:pStyle w:val="ListParagraph"/>
        <w:numPr>
          <w:ilvl w:val="0"/>
          <w:numId w:val="3"/>
        </w:num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can introduce rules that are grossly inefficient or even error-inducing.</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Overall, Norman </w:t>
      </w:r>
      <w:r w:rsidRPr="00692E5B">
        <w:rPr>
          <w:rFonts w:ascii="Times New Roman" w:hAnsi="Times New Roman" w:cs="Times New Roman"/>
          <w:noProof/>
          <w:sz w:val="24"/>
          <w:szCs w:val="24"/>
        </w:rPr>
        <w:t>(1990, 202)</w:t>
      </w:r>
      <w:r w:rsidRPr="00692E5B">
        <w:rPr>
          <w:rFonts w:ascii="Times New Roman" w:hAnsi="Times New Roman" w:cs="Times New Roman"/>
          <w:sz w:val="24"/>
          <w:szCs w:val="24"/>
        </w:rPr>
        <w:t xml:space="preserve"> describes “standardisation is the solution of last resort, an admission that we cannot solve the problems in any other way. So we must at least all agree to a common solution”. He also believes that standardisation provides a form of ‘cultural constraint’ that guides acceptable social behaviour. “These cultural conventions have to be learned, but once learned they apply to a wide variety of circumstances” </w:t>
      </w:r>
      <w:r w:rsidRPr="00692E5B">
        <w:rPr>
          <w:rFonts w:ascii="Times New Roman" w:hAnsi="Times New Roman" w:cs="Times New Roman"/>
          <w:noProof/>
          <w:sz w:val="24"/>
          <w:szCs w:val="24"/>
        </w:rPr>
        <w:t>(Norman 1990, 55)</w:t>
      </w:r>
      <w:r w:rsidRPr="00692E5B">
        <w:rPr>
          <w:rFonts w:ascii="Times New Roman" w:hAnsi="Times New Roman" w:cs="Times New Roman"/>
          <w:sz w:val="24"/>
          <w:szCs w:val="24"/>
        </w:rPr>
        <w:t xml:space="preserve">. </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While it is not </w:t>
      </w:r>
      <w:r>
        <w:rPr>
          <w:rFonts w:ascii="Times New Roman" w:hAnsi="Times New Roman" w:cs="Times New Roman"/>
          <w:sz w:val="24"/>
          <w:szCs w:val="24"/>
        </w:rPr>
        <w:t>obvious</w:t>
      </w:r>
      <w:r w:rsidRPr="00692E5B">
        <w:rPr>
          <w:rFonts w:ascii="Times New Roman" w:hAnsi="Times New Roman" w:cs="Times New Roman"/>
          <w:sz w:val="24"/>
          <w:szCs w:val="24"/>
        </w:rPr>
        <w:t xml:space="preserve"> if the Kangan report moved immediately to the ‘last resort’ as a solution for the problems of TAFE, it is clear that it was responding to the idiosyncratic Australian cultural expectation of government intervention into the economic and social affairs of the citizenry. This propensity has been described as a form of “colonial socialism” </w:t>
      </w:r>
      <w:r w:rsidRPr="00692E5B">
        <w:rPr>
          <w:rFonts w:ascii="Times New Roman" w:hAnsi="Times New Roman" w:cs="Times New Roman"/>
          <w:noProof/>
          <w:sz w:val="24"/>
          <w:szCs w:val="24"/>
        </w:rPr>
        <w:t>(Butlin, Barnard &amp; Pincus 1982, 13)</w:t>
      </w:r>
      <w:r w:rsidRPr="00692E5B">
        <w:rPr>
          <w:rFonts w:ascii="Times New Roman" w:hAnsi="Times New Roman" w:cs="Times New Roman"/>
          <w:sz w:val="24"/>
          <w:szCs w:val="24"/>
        </w:rPr>
        <w:t xml:space="preserve"> in which Australians practice a distinctive and peculiar expression of their individualism characterised by reliance upon the state – an entity that is seen as a ‘vast public utility’ for the satisfaction of needs </w:t>
      </w:r>
      <w:r w:rsidRPr="00692E5B">
        <w:rPr>
          <w:rFonts w:ascii="Times New Roman" w:hAnsi="Times New Roman" w:cs="Times New Roman"/>
          <w:noProof/>
          <w:sz w:val="24"/>
          <w:szCs w:val="24"/>
        </w:rPr>
        <w:t>(Manne &amp; Feik 2012, 2)</w:t>
      </w:r>
      <w:r w:rsidRPr="00692E5B">
        <w:rPr>
          <w:rFonts w:ascii="Times New Roman" w:hAnsi="Times New Roman" w:cs="Times New Roman"/>
          <w:sz w:val="24"/>
          <w:szCs w:val="24"/>
        </w:rPr>
        <w:t xml:space="preserve">. This expectation of government action has also been historically accompanied by a deep discounting of the real costs of nonmarket failure. The easy acceptance and extension of standardisation into the national training system reflects </w:t>
      </w:r>
      <w:r>
        <w:rPr>
          <w:rFonts w:ascii="Times New Roman" w:hAnsi="Times New Roman" w:cs="Times New Roman"/>
          <w:sz w:val="24"/>
          <w:szCs w:val="24"/>
        </w:rPr>
        <w:t>a</w:t>
      </w:r>
      <w:r w:rsidRPr="00692E5B">
        <w:rPr>
          <w:rFonts w:ascii="Times New Roman" w:hAnsi="Times New Roman" w:cs="Times New Roman"/>
          <w:sz w:val="24"/>
          <w:szCs w:val="24"/>
        </w:rPr>
        <w:t xml:space="preserve"> cultural</w:t>
      </w:r>
      <w:r>
        <w:rPr>
          <w:rFonts w:ascii="Times New Roman" w:hAnsi="Times New Roman" w:cs="Times New Roman"/>
          <w:sz w:val="24"/>
          <w:szCs w:val="24"/>
        </w:rPr>
        <w:t xml:space="preserve"> and political constraint</w:t>
      </w:r>
      <w:r w:rsidRPr="00692E5B">
        <w:rPr>
          <w:rFonts w:ascii="Times New Roman" w:hAnsi="Times New Roman" w:cs="Times New Roman"/>
          <w:sz w:val="24"/>
          <w:szCs w:val="24"/>
        </w:rPr>
        <w:t>.</w:t>
      </w:r>
    </w:p>
    <w:p w:rsidR="00470EC5" w:rsidRPr="00692E5B" w:rsidRDefault="00470EC5" w:rsidP="00CC2503">
      <w:pPr>
        <w:autoSpaceDE w:val="0"/>
        <w:autoSpaceDN w:val="0"/>
        <w:adjustRightInd w:val="0"/>
        <w:spacing w:line="480" w:lineRule="auto"/>
        <w:rPr>
          <w:rFonts w:ascii="Times New Roman" w:hAnsi="Times New Roman" w:cs="Times New Roman"/>
          <w:sz w:val="24"/>
          <w:szCs w:val="24"/>
        </w:rPr>
      </w:pPr>
      <w:r w:rsidRPr="00692E5B">
        <w:rPr>
          <w:rFonts w:ascii="Times New Roman" w:hAnsi="Times New Roman" w:cs="Times New Roman"/>
          <w:b/>
          <w:sz w:val="24"/>
          <w:szCs w:val="24"/>
        </w:rPr>
        <w:t>Conclusion</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Post-Kangan, the actions taken by governments have progressively morphed from being the sole provider of training to the use of technologies designed to implement the funding, regulation and standardisation of vocational education and training. This has been driven by two policy shifts. The first reduces the emphasis on market failure that has been used to justify public expenditure on training and increases the focus upon the </w:t>
      </w:r>
      <w:r>
        <w:rPr>
          <w:rFonts w:ascii="Times New Roman" w:hAnsi="Times New Roman" w:cs="Times New Roman"/>
          <w:sz w:val="24"/>
          <w:szCs w:val="24"/>
        </w:rPr>
        <w:t>real price</w:t>
      </w:r>
      <w:r w:rsidRPr="00692E5B">
        <w:rPr>
          <w:rFonts w:ascii="Times New Roman" w:hAnsi="Times New Roman" w:cs="Times New Roman"/>
          <w:sz w:val="24"/>
          <w:szCs w:val="24"/>
        </w:rPr>
        <w:t xml:space="preserve"> of nonmarket failure. Secondly, the cost of training is increasingly being shifted from the public purse to individuals and employers because the benefits of increased skills acquisition are </w:t>
      </w:r>
      <w:r>
        <w:rPr>
          <w:rFonts w:ascii="Times New Roman" w:hAnsi="Times New Roman" w:cs="Times New Roman"/>
          <w:sz w:val="24"/>
          <w:szCs w:val="24"/>
        </w:rPr>
        <w:t xml:space="preserve">increasingly believed to be </w:t>
      </w:r>
      <w:r w:rsidRPr="00692E5B">
        <w:rPr>
          <w:rFonts w:ascii="Times New Roman" w:hAnsi="Times New Roman" w:cs="Times New Roman"/>
          <w:sz w:val="24"/>
          <w:szCs w:val="24"/>
        </w:rPr>
        <w:t xml:space="preserve">largely private </w:t>
      </w:r>
      <w:r w:rsidRPr="00692E5B">
        <w:rPr>
          <w:rFonts w:ascii="Times New Roman" w:hAnsi="Times New Roman" w:cs="Times New Roman"/>
          <w:noProof/>
          <w:sz w:val="24"/>
          <w:szCs w:val="24"/>
        </w:rPr>
        <w:t>(Dawkins 1989, 4)</w:t>
      </w:r>
      <w:r w:rsidRPr="00692E5B">
        <w:rPr>
          <w:rFonts w:ascii="Times New Roman" w:hAnsi="Times New Roman" w:cs="Times New Roman"/>
          <w:sz w:val="24"/>
          <w:szCs w:val="24"/>
        </w:rPr>
        <w:t>. Accompanying this alteration, the rationale for the use of standards can be moved in the direction of consumer protection, stopping exploitation and improving the quality of training.</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This re-rationalised usage of standardisation in vocational education and training has been simplified and made into an issue that allows for easy presentation in the media. The Assistant Minister for Education and Training has responded to the problem of “rogue training providers” by having “already taken action to introduce tough new standards for registered training organisations, and has provided $68 million over four years to bolster the capacity of the Australian Skills Quality Authority to enforce these strong standards” that will be further supported by a “new one-stop-shop hotline” </w:t>
      </w:r>
      <w:r w:rsidRPr="00692E5B">
        <w:rPr>
          <w:rFonts w:ascii="Times New Roman" w:hAnsi="Times New Roman" w:cs="Times New Roman"/>
          <w:noProof/>
          <w:sz w:val="24"/>
          <w:szCs w:val="24"/>
        </w:rPr>
        <w:t>(Birmingham 2015)</w:t>
      </w:r>
      <w:r w:rsidRPr="00692E5B">
        <w:rPr>
          <w:rFonts w:ascii="Times New Roman" w:hAnsi="Times New Roman" w:cs="Times New Roman"/>
          <w:sz w:val="24"/>
          <w:szCs w:val="24"/>
        </w:rPr>
        <w:t>.</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While strongly advocating for an open and competitive training market, governments are not about to </w:t>
      </w:r>
      <w:r>
        <w:rPr>
          <w:rFonts w:ascii="Times New Roman" w:hAnsi="Times New Roman" w:cs="Times New Roman"/>
          <w:sz w:val="24"/>
          <w:szCs w:val="24"/>
        </w:rPr>
        <w:t>wait for</w:t>
      </w:r>
      <w:r w:rsidRPr="00692E5B">
        <w:rPr>
          <w:rFonts w:ascii="Times New Roman" w:hAnsi="Times New Roman" w:cs="Times New Roman"/>
          <w:sz w:val="24"/>
          <w:szCs w:val="24"/>
        </w:rPr>
        <w:t xml:space="preserve"> the discipline of the marketplace to remove providers who perform unsatisfactorily. The cultural expectation of government intervention provides for too many negative political repercussions if ignored. However, by shifting the role of standards from supporting the operations of the market to </w:t>
      </w:r>
      <w:r>
        <w:rPr>
          <w:rFonts w:ascii="Times New Roman" w:hAnsi="Times New Roman" w:cs="Times New Roman"/>
          <w:sz w:val="24"/>
          <w:szCs w:val="24"/>
        </w:rPr>
        <w:t>a more</w:t>
      </w:r>
      <w:r w:rsidRPr="00692E5B">
        <w:rPr>
          <w:rFonts w:ascii="Times New Roman" w:hAnsi="Times New Roman" w:cs="Times New Roman"/>
          <w:sz w:val="24"/>
          <w:szCs w:val="24"/>
        </w:rPr>
        <w:t xml:space="preserve"> regulatory function, the usefulness of this proven and widely accepted technology of government is maintained. However, as always, this comes at a cost. Training providers that have embraced market principles and that seek to use innovative teaching methods, deploy creative methods of skills assessment or who wish to operate in novel environments are exposed to the easy transition in thinking that allows them to be labelled as ‘rogue providers’ just because they operate differently. For example, the Australian Skills Qualification Authority, in explaining the new 122 page guide to the new training regulations that came into effect in January 2015, has pointed </w:t>
      </w:r>
      <w:r>
        <w:rPr>
          <w:rFonts w:ascii="Times New Roman" w:hAnsi="Times New Roman" w:cs="Times New Roman"/>
          <w:sz w:val="24"/>
          <w:szCs w:val="24"/>
        </w:rPr>
        <w:t xml:space="preserve">out </w:t>
      </w:r>
      <w:r w:rsidRPr="00692E5B">
        <w:rPr>
          <w:rFonts w:ascii="Times New Roman" w:hAnsi="Times New Roman" w:cs="Times New Roman"/>
          <w:sz w:val="24"/>
          <w:szCs w:val="24"/>
        </w:rPr>
        <w:t xml:space="preserve">that there are particular challenges facing those who use distance learning methods, including online </w:t>
      </w:r>
      <w:r w:rsidRPr="00692E5B">
        <w:rPr>
          <w:rFonts w:ascii="Times New Roman" w:hAnsi="Times New Roman" w:cs="Times New Roman"/>
          <w:noProof/>
          <w:sz w:val="24"/>
          <w:szCs w:val="24"/>
        </w:rPr>
        <w:t>(Bita 2014)</w:t>
      </w:r>
      <w:r w:rsidRPr="00692E5B">
        <w:rPr>
          <w:rFonts w:ascii="Times New Roman" w:hAnsi="Times New Roman" w:cs="Times New Roman"/>
          <w:sz w:val="24"/>
          <w:szCs w:val="24"/>
        </w:rPr>
        <w:t>. Thi</w:t>
      </w:r>
      <w:r>
        <w:rPr>
          <w:rFonts w:ascii="Times New Roman" w:hAnsi="Times New Roman" w:cs="Times New Roman"/>
          <w:sz w:val="24"/>
          <w:szCs w:val="24"/>
        </w:rPr>
        <w:t>s regulatory usage</w:t>
      </w:r>
      <w:r w:rsidRPr="00692E5B">
        <w:rPr>
          <w:rFonts w:ascii="Times New Roman" w:hAnsi="Times New Roman" w:cs="Times New Roman"/>
          <w:sz w:val="24"/>
          <w:szCs w:val="24"/>
        </w:rPr>
        <w:t xml:space="preserve"> of standardisation rewards conformity with national standards and poses significant risks for those providers who wish</w:t>
      </w:r>
      <w:r>
        <w:rPr>
          <w:rFonts w:ascii="Times New Roman" w:hAnsi="Times New Roman" w:cs="Times New Roman"/>
          <w:sz w:val="24"/>
          <w:szCs w:val="24"/>
        </w:rPr>
        <w:t xml:space="preserve"> to</w:t>
      </w:r>
      <w:r w:rsidRPr="00692E5B">
        <w:rPr>
          <w:rFonts w:ascii="Times New Roman" w:hAnsi="Times New Roman" w:cs="Times New Roman"/>
          <w:sz w:val="24"/>
          <w:szCs w:val="24"/>
        </w:rPr>
        <w:t xml:space="preserve"> innovate and compete on price in an open market.</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The 1974 Kangan report gave vocational education and training the enduring legacy of standardisation. This technology of government is highly adaptable to public policy considerations and has shown itself to be applicable to a wide variety of operational areas in the pursuit of a training market. It is clear that Australian governments are not able or willing to relinquish training to unregulated forces of the market, but are also reluctant to maintain a monopolistic system of public providers. The ubiquitous acceptance and easy application of standardisation in vocational education and training will continue to oscillate between the role it plays in facilitating free market operations and its regulatory function. This is all the more notable because virtually every one of the problems to do with TAFE that were </w:t>
      </w:r>
      <w:r>
        <w:rPr>
          <w:rFonts w:ascii="Times New Roman" w:hAnsi="Times New Roman" w:cs="Times New Roman"/>
          <w:sz w:val="24"/>
          <w:szCs w:val="24"/>
        </w:rPr>
        <w:t>identified in the Kangan report</w:t>
      </w:r>
      <w:r w:rsidRPr="00692E5B">
        <w:rPr>
          <w:rFonts w:ascii="Times New Roman" w:hAnsi="Times New Roman" w:cs="Times New Roman"/>
          <w:sz w:val="24"/>
          <w:szCs w:val="24"/>
        </w:rPr>
        <w:t xml:space="preserve"> and were</w:t>
      </w:r>
      <w:r>
        <w:rPr>
          <w:rFonts w:ascii="Times New Roman" w:hAnsi="Times New Roman" w:cs="Times New Roman"/>
          <w:sz w:val="24"/>
          <w:szCs w:val="24"/>
        </w:rPr>
        <w:t xml:space="preserve">, </w:t>
      </w:r>
      <w:r w:rsidRPr="00692E5B">
        <w:rPr>
          <w:rFonts w:ascii="Times New Roman" w:hAnsi="Times New Roman" w:cs="Times New Roman"/>
          <w:sz w:val="24"/>
          <w:szCs w:val="24"/>
        </w:rPr>
        <w:t>optimistically</w:t>
      </w:r>
      <w:r>
        <w:rPr>
          <w:rFonts w:ascii="Times New Roman" w:hAnsi="Times New Roman" w:cs="Times New Roman"/>
          <w:sz w:val="24"/>
          <w:szCs w:val="24"/>
        </w:rPr>
        <w:t>,</w:t>
      </w:r>
      <w:r w:rsidRPr="00692E5B">
        <w:rPr>
          <w:rFonts w:ascii="Times New Roman" w:hAnsi="Times New Roman" w:cs="Times New Roman"/>
          <w:sz w:val="24"/>
          <w:szCs w:val="24"/>
        </w:rPr>
        <w:t xml:space="preserve"> to be addressed by the setting of standards, is still subject to debate and discussion 40 years later. Standardisation in support of both market and nonmarket responses remains at the heart of the expert provision of public policy options.</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In revisiting the intention of an open</w:t>
      </w:r>
      <w:r>
        <w:rPr>
          <w:rFonts w:ascii="Times New Roman" w:hAnsi="Times New Roman" w:cs="Times New Roman"/>
          <w:sz w:val="24"/>
          <w:szCs w:val="24"/>
        </w:rPr>
        <w:t>, nationally consistent</w:t>
      </w:r>
      <w:r w:rsidRPr="00692E5B">
        <w:rPr>
          <w:rFonts w:ascii="Times New Roman" w:hAnsi="Times New Roman" w:cs="Times New Roman"/>
          <w:sz w:val="24"/>
          <w:szCs w:val="24"/>
        </w:rPr>
        <w:t xml:space="preserve"> and con</w:t>
      </w:r>
      <w:r>
        <w:rPr>
          <w:rFonts w:ascii="Times New Roman" w:hAnsi="Times New Roman" w:cs="Times New Roman"/>
          <w:sz w:val="24"/>
          <w:szCs w:val="24"/>
        </w:rPr>
        <w:t>testable training market,</w:t>
      </w:r>
      <w:r w:rsidRPr="00692E5B">
        <w:rPr>
          <w:rFonts w:ascii="Times New Roman" w:hAnsi="Times New Roman" w:cs="Times New Roman"/>
          <w:sz w:val="24"/>
          <w:szCs w:val="24"/>
        </w:rPr>
        <w:t xml:space="preserve"> several good design principles should be considered rather than accepting standardisation’s uncritical default position of last resort. A reconceived training market should make</w:t>
      </w:r>
    </w:p>
    <w:p w:rsidR="00470EC5" w:rsidRPr="00692E5B" w:rsidRDefault="00470EC5" w:rsidP="00CC2503">
      <w:pPr>
        <w:pStyle w:val="ListParagraph"/>
        <w:numPr>
          <w:ilvl w:val="0"/>
          <w:numId w:val="4"/>
        </w:num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it easy to determine what actions are possible at any moment</w:t>
      </w:r>
    </w:p>
    <w:p w:rsidR="00470EC5" w:rsidRPr="00692E5B" w:rsidRDefault="00470EC5" w:rsidP="00CC2503">
      <w:pPr>
        <w:pStyle w:val="ListParagraph"/>
        <w:numPr>
          <w:ilvl w:val="0"/>
          <w:numId w:val="4"/>
        </w:num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things visible including conceptual system models, alternative actions and results</w:t>
      </w:r>
    </w:p>
    <w:p w:rsidR="00470EC5" w:rsidRPr="00692E5B" w:rsidRDefault="00470EC5" w:rsidP="00CC2503">
      <w:pPr>
        <w:pStyle w:val="ListParagraph"/>
        <w:numPr>
          <w:ilvl w:val="0"/>
          <w:numId w:val="4"/>
        </w:num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it easy to evaluate the current state of the system</w:t>
      </w:r>
    </w:p>
    <w:p w:rsidR="00470EC5" w:rsidRPr="00692E5B" w:rsidRDefault="00470EC5" w:rsidP="00CC2503">
      <w:pPr>
        <w:pStyle w:val="ListParagraph"/>
        <w:numPr>
          <w:ilvl w:val="0"/>
          <w:numId w:val="4"/>
        </w:num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clear the natural mappings between intentions, the information available, the required actions and the resulting effect. </w:t>
      </w:r>
    </w:p>
    <w:p w:rsidR="00470EC5" w:rsidRPr="00692E5B" w:rsidRDefault="00470EC5" w:rsidP="00CC2503">
      <w:pPr>
        <w:autoSpaceDE w:val="0"/>
        <w:autoSpaceDN w:val="0"/>
        <w:adjustRightInd w:val="0"/>
        <w:spacing w:line="480" w:lineRule="auto"/>
        <w:jc w:val="both"/>
        <w:rPr>
          <w:rFonts w:ascii="Times New Roman" w:hAnsi="Times New Roman" w:cs="Times New Roman"/>
          <w:sz w:val="24"/>
          <w:szCs w:val="24"/>
        </w:rPr>
      </w:pPr>
      <w:r w:rsidRPr="00692E5B">
        <w:rPr>
          <w:rFonts w:ascii="Times New Roman" w:hAnsi="Times New Roman" w:cs="Times New Roman"/>
          <w:sz w:val="24"/>
          <w:szCs w:val="24"/>
        </w:rPr>
        <w:t xml:space="preserve">“In other words, make sure that (1) the user can figure out what to do, and (2) the user can tell what is going on” </w:t>
      </w:r>
      <w:r w:rsidRPr="00692E5B">
        <w:rPr>
          <w:rFonts w:ascii="Times New Roman" w:hAnsi="Times New Roman" w:cs="Times New Roman"/>
          <w:noProof/>
          <w:sz w:val="24"/>
          <w:szCs w:val="24"/>
        </w:rPr>
        <w:t>(Norman 1990, 188)</w:t>
      </w:r>
      <w:r w:rsidRPr="00692E5B">
        <w:rPr>
          <w:rFonts w:ascii="Times New Roman" w:hAnsi="Times New Roman" w:cs="Times New Roman"/>
          <w:sz w:val="24"/>
          <w:szCs w:val="24"/>
        </w:rPr>
        <w:t>.</w:t>
      </w:r>
    </w:p>
    <w:p w:rsidR="00470EC5" w:rsidRDefault="00470EC5" w:rsidP="00CC2503">
      <w:pPr>
        <w:autoSpaceDE w:val="0"/>
        <w:autoSpaceDN w:val="0"/>
        <w:adjustRightInd w:val="0"/>
        <w:spacing w:line="480" w:lineRule="auto"/>
        <w:rPr>
          <w:rFonts w:ascii="Times New Roman" w:hAnsi="Times New Roman" w:cs="Times New Roman"/>
          <w:b/>
          <w:sz w:val="24"/>
          <w:szCs w:val="24"/>
        </w:rPr>
      </w:pPr>
    </w:p>
    <w:p w:rsidR="00470EC5" w:rsidRPr="00692E5B" w:rsidRDefault="00470EC5" w:rsidP="00CC2503">
      <w:pPr>
        <w:autoSpaceDE w:val="0"/>
        <w:autoSpaceDN w:val="0"/>
        <w:adjustRightInd w:val="0"/>
        <w:spacing w:line="480" w:lineRule="auto"/>
        <w:rPr>
          <w:rFonts w:ascii="Times New Roman" w:hAnsi="Times New Roman" w:cs="Times New Roman"/>
          <w:b/>
          <w:sz w:val="24"/>
          <w:szCs w:val="24"/>
        </w:rPr>
      </w:pPr>
      <w:r w:rsidRPr="00692E5B">
        <w:rPr>
          <w:rFonts w:ascii="Times New Roman" w:hAnsi="Times New Roman" w:cs="Times New Roman"/>
          <w:b/>
          <w:sz w:val="24"/>
          <w:szCs w:val="24"/>
        </w:rPr>
        <w:t>References</w:t>
      </w:r>
    </w:p>
    <w:p w:rsidR="00470EC5" w:rsidRDefault="00470EC5" w:rsidP="00CC2503">
      <w:pPr>
        <w:spacing w:line="480" w:lineRule="auto"/>
        <w:rPr>
          <w:rFonts w:ascii="Times New Roman" w:hAnsi="Times New Roman" w:cs="Times New Roman"/>
          <w:noProof/>
          <w:sz w:val="24"/>
          <w:szCs w:val="24"/>
        </w:rPr>
      </w:pPr>
      <w:bookmarkStart w:id="1" w:name="_ENREF_1"/>
      <w:r>
        <w:rPr>
          <w:rFonts w:ascii="Times New Roman" w:hAnsi="Times New Roman" w:cs="Times New Roman"/>
          <w:noProof/>
          <w:sz w:val="24"/>
          <w:szCs w:val="24"/>
        </w:rPr>
        <w:t xml:space="preserve">Australian Committee on Technical and Further Education 1974, </w:t>
      </w:r>
      <w:r w:rsidRPr="00B804D8">
        <w:rPr>
          <w:rFonts w:ascii="Times New Roman" w:hAnsi="Times New Roman" w:cs="Times New Roman"/>
          <w:i/>
          <w:noProof/>
          <w:sz w:val="24"/>
          <w:szCs w:val="24"/>
        </w:rPr>
        <w:t xml:space="preserve">TAFE in Australia: report on needs in Technical and Further Education (Kangan Report) </w:t>
      </w:r>
      <w:r>
        <w:rPr>
          <w:rFonts w:ascii="Times New Roman" w:hAnsi="Times New Roman" w:cs="Times New Roman"/>
          <w:noProof/>
          <w:sz w:val="24"/>
          <w:szCs w:val="24"/>
        </w:rPr>
        <w:t>Australian Government Publishing Service, Canberra.</w:t>
      </w:r>
      <w:bookmarkEnd w:id="1"/>
    </w:p>
    <w:p w:rsidR="00470EC5" w:rsidRDefault="00470EC5" w:rsidP="00CC2503">
      <w:pPr>
        <w:spacing w:line="480" w:lineRule="auto"/>
        <w:rPr>
          <w:rFonts w:ascii="Times New Roman" w:hAnsi="Times New Roman" w:cs="Times New Roman"/>
          <w:noProof/>
          <w:sz w:val="24"/>
          <w:szCs w:val="24"/>
        </w:rPr>
      </w:pPr>
      <w:bookmarkStart w:id="2" w:name="_ENREF_2"/>
      <w:r>
        <w:rPr>
          <w:rFonts w:ascii="Times New Roman" w:hAnsi="Times New Roman" w:cs="Times New Roman"/>
          <w:noProof/>
          <w:sz w:val="24"/>
          <w:szCs w:val="24"/>
        </w:rPr>
        <w:t xml:space="preserve">Australian Committee on Vocational Education and Training Statistics 1993, </w:t>
      </w:r>
      <w:r w:rsidRPr="00B804D8">
        <w:rPr>
          <w:rFonts w:ascii="Times New Roman" w:hAnsi="Times New Roman" w:cs="Times New Roman"/>
          <w:i/>
          <w:noProof/>
          <w:sz w:val="24"/>
          <w:szCs w:val="24"/>
        </w:rPr>
        <w:t>Australian Vocational Education and Training Management Information System Standard: Volume One: An Overview: Release 1.0</w:t>
      </w:r>
      <w:r>
        <w:rPr>
          <w:rFonts w:ascii="Times New Roman" w:hAnsi="Times New Roman" w:cs="Times New Roman"/>
          <w:noProof/>
          <w:sz w:val="24"/>
          <w:szCs w:val="24"/>
        </w:rPr>
        <w:t>, The National Management Information and Statistical System Project, Perth.</w:t>
      </w:r>
      <w:bookmarkEnd w:id="2"/>
    </w:p>
    <w:p w:rsidR="00470EC5" w:rsidRDefault="00470EC5" w:rsidP="00CC2503">
      <w:pPr>
        <w:spacing w:line="480" w:lineRule="auto"/>
        <w:rPr>
          <w:rFonts w:ascii="Times New Roman" w:hAnsi="Times New Roman" w:cs="Times New Roman"/>
          <w:noProof/>
          <w:sz w:val="24"/>
          <w:szCs w:val="24"/>
        </w:rPr>
      </w:pPr>
      <w:bookmarkStart w:id="3" w:name="_ENREF_3"/>
      <w:r>
        <w:rPr>
          <w:rFonts w:ascii="Times New Roman" w:hAnsi="Times New Roman" w:cs="Times New Roman"/>
          <w:noProof/>
          <w:sz w:val="24"/>
          <w:szCs w:val="24"/>
        </w:rPr>
        <w:t xml:space="preserve">Birmingham, S 2015, </w:t>
      </w:r>
      <w:r w:rsidRPr="00B804D8">
        <w:rPr>
          <w:rFonts w:ascii="Times New Roman" w:hAnsi="Times New Roman" w:cs="Times New Roman"/>
          <w:i/>
          <w:noProof/>
          <w:sz w:val="24"/>
          <w:szCs w:val="24"/>
        </w:rPr>
        <w:t>New national training complaints hotline - 133873</w:t>
      </w:r>
      <w:r>
        <w:rPr>
          <w:rFonts w:ascii="Times New Roman" w:hAnsi="Times New Roman" w:cs="Times New Roman"/>
          <w:noProof/>
          <w:sz w:val="24"/>
          <w:szCs w:val="24"/>
        </w:rPr>
        <w:t>, Department of Education and Training Media Centre, Canberra.</w:t>
      </w:r>
      <w:bookmarkEnd w:id="3"/>
    </w:p>
    <w:p w:rsidR="00470EC5" w:rsidRDefault="00470EC5" w:rsidP="00CC2503">
      <w:pPr>
        <w:spacing w:line="480" w:lineRule="auto"/>
        <w:rPr>
          <w:rFonts w:ascii="Times New Roman" w:hAnsi="Times New Roman" w:cs="Times New Roman"/>
          <w:noProof/>
          <w:sz w:val="24"/>
          <w:szCs w:val="24"/>
        </w:rPr>
      </w:pPr>
      <w:bookmarkStart w:id="4" w:name="_ENREF_4"/>
      <w:r>
        <w:rPr>
          <w:rFonts w:ascii="Times New Roman" w:hAnsi="Times New Roman" w:cs="Times New Roman"/>
          <w:noProof/>
          <w:sz w:val="24"/>
          <w:szCs w:val="24"/>
        </w:rPr>
        <w:t xml:space="preserve">Bita, N 2014, 'Training colleges issued new rules to weed out online cheats', </w:t>
      </w:r>
      <w:r w:rsidRPr="00B804D8">
        <w:rPr>
          <w:rFonts w:ascii="Times New Roman" w:hAnsi="Times New Roman" w:cs="Times New Roman"/>
          <w:i/>
          <w:noProof/>
          <w:sz w:val="24"/>
          <w:szCs w:val="24"/>
        </w:rPr>
        <w:t>The Australian</w:t>
      </w:r>
      <w:r>
        <w:rPr>
          <w:rFonts w:ascii="Times New Roman" w:hAnsi="Times New Roman" w:cs="Times New Roman"/>
          <w:noProof/>
          <w:sz w:val="24"/>
          <w:szCs w:val="24"/>
        </w:rPr>
        <w:t>, 17 November 2014, p. 3.</w:t>
      </w:r>
      <w:bookmarkEnd w:id="4"/>
    </w:p>
    <w:p w:rsidR="00470EC5" w:rsidRDefault="00470EC5" w:rsidP="00CC2503">
      <w:pPr>
        <w:spacing w:line="480" w:lineRule="auto"/>
        <w:rPr>
          <w:rFonts w:ascii="Times New Roman" w:hAnsi="Times New Roman" w:cs="Times New Roman"/>
          <w:noProof/>
          <w:sz w:val="24"/>
          <w:szCs w:val="24"/>
        </w:rPr>
      </w:pPr>
      <w:bookmarkStart w:id="5" w:name="_ENREF_5"/>
      <w:r>
        <w:rPr>
          <w:rFonts w:ascii="Times New Roman" w:hAnsi="Times New Roman" w:cs="Times New Roman"/>
          <w:noProof/>
          <w:sz w:val="24"/>
          <w:szCs w:val="24"/>
        </w:rPr>
        <w:t xml:space="preserve">Butlin, N, Barnard, A &amp; Pincus, J 1982, </w:t>
      </w:r>
      <w:r w:rsidRPr="00B804D8">
        <w:rPr>
          <w:rFonts w:ascii="Times New Roman" w:hAnsi="Times New Roman" w:cs="Times New Roman"/>
          <w:i/>
          <w:noProof/>
          <w:sz w:val="24"/>
          <w:szCs w:val="24"/>
        </w:rPr>
        <w:t>Government and capitalism: public and private choice in twentieth century Australia</w:t>
      </w:r>
      <w:r>
        <w:rPr>
          <w:rFonts w:ascii="Times New Roman" w:hAnsi="Times New Roman" w:cs="Times New Roman"/>
          <w:noProof/>
          <w:sz w:val="24"/>
          <w:szCs w:val="24"/>
        </w:rPr>
        <w:t>, George Allen and Unwin, Sydney.</w:t>
      </w:r>
      <w:bookmarkEnd w:id="5"/>
    </w:p>
    <w:p w:rsidR="00470EC5" w:rsidRDefault="00470EC5" w:rsidP="00CC2503">
      <w:pPr>
        <w:spacing w:line="480" w:lineRule="auto"/>
        <w:rPr>
          <w:rFonts w:ascii="Times New Roman" w:hAnsi="Times New Roman" w:cs="Times New Roman"/>
          <w:noProof/>
          <w:sz w:val="24"/>
          <w:szCs w:val="24"/>
        </w:rPr>
      </w:pPr>
      <w:bookmarkStart w:id="6" w:name="_ENREF_6"/>
      <w:r>
        <w:rPr>
          <w:rFonts w:ascii="Times New Roman" w:hAnsi="Times New Roman" w:cs="Times New Roman"/>
          <w:noProof/>
          <w:sz w:val="24"/>
          <w:szCs w:val="24"/>
        </w:rPr>
        <w:t xml:space="preserve">Council of Australian Governments 2012, </w:t>
      </w:r>
      <w:r w:rsidRPr="00B804D8">
        <w:rPr>
          <w:rFonts w:ascii="Times New Roman" w:hAnsi="Times New Roman" w:cs="Times New Roman"/>
          <w:i/>
          <w:noProof/>
          <w:sz w:val="24"/>
          <w:szCs w:val="24"/>
        </w:rPr>
        <w:t>National partnership agreement on skills reform</w:t>
      </w:r>
      <w:r>
        <w:rPr>
          <w:rFonts w:ascii="Times New Roman" w:hAnsi="Times New Roman" w:cs="Times New Roman"/>
          <w:noProof/>
          <w:sz w:val="24"/>
          <w:szCs w:val="24"/>
        </w:rPr>
        <w:t>, Commonwealth of Australia, Canberra.</w:t>
      </w:r>
      <w:bookmarkEnd w:id="6"/>
    </w:p>
    <w:p w:rsidR="00470EC5" w:rsidRDefault="00470EC5" w:rsidP="00CC2503">
      <w:pPr>
        <w:spacing w:line="480" w:lineRule="auto"/>
        <w:rPr>
          <w:rFonts w:ascii="Times New Roman" w:hAnsi="Times New Roman" w:cs="Times New Roman"/>
          <w:noProof/>
          <w:sz w:val="24"/>
          <w:szCs w:val="24"/>
        </w:rPr>
      </w:pPr>
      <w:bookmarkStart w:id="7" w:name="_ENREF_7"/>
      <w:r>
        <w:rPr>
          <w:rFonts w:ascii="Times New Roman" w:hAnsi="Times New Roman" w:cs="Times New Roman"/>
          <w:noProof/>
          <w:sz w:val="24"/>
          <w:szCs w:val="24"/>
        </w:rPr>
        <w:t>Dawkins, J 1989, 'Opening statement: education and the economy in a changing society', paper presented to Education and the economy in a changing society, Paris.</w:t>
      </w:r>
      <w:bookmarkEnd w:id="7"/>
    </w:p>
    <w:p w:rsidR="00470EC5" w:rsidRDefault="00470EC5" w:rsidP="00CC2503">
      <w:pPr>
        <w:spacing w:line="480" w:lineRule="auto"/>
        <w:rPr>
          <w:rFonts w:ascii="Times New Roman" w:hAnsi="Times New Roman" w:cs="Times New Roman"/>
          <w:noProof/>
          <w:sz w:val="24"/>
          <w:szCs w:val="24"/>
        </w:rPr>
      </w:pPr>
      <w:bookmarkStart w:id="8" w:name="_ENREF_8"/>
      <w:r>
        <w:rPr>
          <w:rFonts w:ascii="Times New Roman" w:hAnsi="Times New Roman" w:cs="Times New Roman"/>
          <w:noProof/>
          <w:sz w:val="24"/>
          <w:szCs w:val="24"/>
        </w:rPr>
        <w:t xml:space="preserve">Department of Industry 2014, </w:t>
      </w:r>
      <w:r w:rsidRPr="00B804D8">
        <w:rPr>
          <w:rFonts w:ascii="Times New Roman" w:hAnsi="Times New Roman" w:cs="Times New Roman"/>
          <w:i/>
          <w:noProof/>
          <w:sz w:val="24"/>
          <w:szCs w:val="24"/>
        </w:rPr>
        <w:t>Skills</w:t>
      </w:r>
      <w:r>
        <w:rPr>
          <w:rFonts w:ascii="Times New Roman" w:hAnsi="Times New Roman" w:cs="Times New Roman"/>
          <w:noProof/>
          <w:sz w:val="24"/>
          <w:szCs w:val="24"/>
        </w:rPr>
        <w:t>, Australian Government, viewed 27 November 2014, &lt;</w:t>
      </w:r>
      <w:r w:rsidRPr="00470EC5">
        <w:rPr>
          <w:rFonts w:ascii="Times New Roman" w:hAnsi="Times New Roman" w:cs="Times New Roman"/>
          <w:noProof/>
          <w:sz w:val="24"/>
          <w:szCs w:val="24"/>
        </w:rPr>
        <w:t>http://www.industry.gov.au/skills/Pages/default.aspx&gt;</w:t>
      </w:r>
      <w:r>
        <w:rPr>
          <w:rFonts w:ascii="Times New Roman" w:hAnsi="Times New Roman" w:cs="Times New Roman"/>
          <w:noProof/>
          <w:sz w:val="24"/>
          <w:szCs w:val="24"/>
        </w:rPr>
        <w:t>.</w:t>
      </w:r>
      <w:bookmarkEnd w:id="8"/>
    </w:p>
    <w:p w:rsidR="00470EC5" w:rsidRDefault="00470EC5" w:rsidP="00CC2503">
      <w:pPr>
        <w:spacing w:line="480" w:lineRule="auto"/>
        <w:rPr>
          <w:rFonts w:ascii="Times New Roman" w:hAnsi="Times New Roman" w:cs="Times New Roman"/>
          <w:noProof/>
          <w:sz w:val="24"/>
          <w:szCs w:val="24"/>
        </w:rPr>
      </w:pPr>
      <w:bookmarkStart w:id="9" w:name="_ENREF_9"/>
      <w:r>
        <w:rPr>
          <w:rFonts w:ascii="Times New Roman" w:hAnsi="Times New Roman" w:cs="Times New Roman"/>
          <w:noProof/>
          <w:sz w:val="24"/>
          <w:szCs w:val="24"/>
        </w:rPr>
        <w:t xml:space="preserve">Deveson, I 1990, </w:t>
      </w:r>
      <w:r w:rsidRPr="00B804D8">
        <w:rPr>
          <w:rFonts w:ascii="Times New Roman" w:hAnsi="Times New Roman" w:cs="Times New Roman"/>
          <w:i/>
          <w:noProof/>
          <w:sz w:val="24"/>
          <w:szCs w:val="24"/>
        </w:rPr>
        <w:t>Training costs of award restructuring: report of the Training Costs Review Committee: volume one</w:t>
      </w:r>
      <w:r>
        <w:rPr>
          <w:rFonts w:ascii="Times New Roman" w:hAnsi="Times New Roman" w:cs="Times New Roman"/>
          <w:noProof/>
          <w:sz w:val="24"/>
          <w:szCs w:val="24"/>
        </w:rPr>
        <w:t>, Australian Government Publishing Service, Canberra.</w:t>
      </w:r>
      <w:bookmarkEnd w:id="9"/>
    </w:p>
    <w:p w:rsidR="00470EC5" w:rsidRDefault="00470EC5" w:rsidP="00CC2503">
      <w:pPr>
        <w:spacing w:line="480" w:lineRule="auto"/>
        <w:rPr>
          <w:rFonts w:ascii="Times New Roman" w:hAnsi="Times New Roman" w:cs="Times New Roman"/>
          <w:noProof/>
          <w:sz w:val="24"/>
          <w:szCs w:val="24"/>
        </w:rPr>
      </w:pPr>
      <w:bookmarkStart w:id="10" w:name="_ENREF_10"/>
      <w:r>
        <w:rPr>
          <w:rFonts w:ascii="Times New Roman" w:hAnsi="Times New Roman" w:cs="Times New Roman"/>
          <w:noProof/>
          <w:sz w:val="24"/>
          <w:szCs w:val="24"/>
        </w:rPr>
        <w:t xml:space="preserve">Dow, S 1990, 'Beyond dualism', </w:t>
      </w:r>
      <w:r w:rsidRPr="00B804D8">
        <w:rPr>
          <w:rFonts w:ascii="Times New Roman" w:hAnsi="Times New Roman" w:cs="Times New Roman"/>
          <w:i/>
          <w:noProof/>
          <w:sz w:val="24"/>
          <w:szCs w:val="24"/>
        </w:rPr>
        <w:t>Cambridge Journal of Economics</w:t>
      </w:r>
      <w:r>
        <w:rPr>
          <w:rFonts w:ascii="Times New Roman" w:hAnsi="Times New Roman" w:cs="Times New Roman"/>
          <w:noProof/>
          <w:sz w:val="24"/>
          <w:szCs w:val="24"/>
        </w:rPr>
        <w:t>, vol. 14, no. 2, pp. 143-57.</w:t>
      </w:r>
      <w:bookmarkEnd w:id="10"/>
    </w:p>
    <w:p w:rsidR="00470EC5" w:rsidRDefault="00470EC5" w:rsidP="00CC2503">
      <w:pPr>
        <w:spacing w:line="480" w:lineRule="auto"/>
        <w:rPr>
          <w:rFonts w:ascii="Times New Roman" w:hAnsi="Times New Roman" w:cs="Times New Roman"/>
          <w:noProof/>
          <w:sz w:val="24"/>
          <w:szCs w:val="24"/>
        </w:rPr>
      </w:pPr>
      <w:bookmarkStart w:id="11" w:name="_ENREF_11"/>
      <w:r>
        <w:rPr>
          <w:rFonts w:ascii="Times New Roman" w:hAnsi="Times New Roman" w:cs="Times New Roman"/>
          <w:noProof/>
          <w:sz w:val="24"/>
          <w:szCs w:val="24"/>
        </w:rPr>
        <w:t xml:space="preserve">European Centre for the Development of Vocational Training 2012, </w:t>
      </w:r>
      <w:r w:rsidRPr="00B804D8">
        <w:rPr>
          <w:rFonts w:ascii="Times New Roman" w:hAnsi="Times New Roman" w:cs="Times New Roman"/>
          <w:i/>
          <w:noProof/>
          <w:sz w:val="24"/>
          <w:szCs w:val="24"/>
        </w:rPr>
        <w:t>Loans for vocational education and training in Europe: research paper number 20</w:t>
      </w:r>
      <w:r>
        <w:rPr>
          <w:rFonts w:ascii="Times New Roman" w:hAnsi="Times New Roman" w:cs="Times New Roman"/>
          <w:noProof/>
          <w:sz w:val="24"/>
          <w:szCs w:val="24"/>
        </w:rPr>
        <w:t>, Publications Office of the European Union, Luxembourg.</w:t>
      </w:r>
      <w:bookmarkEnd w:id="11"/>
    </w:p>
    <w:p w:rsidR="00470EC5" w:rsidRDefault="00470EC5" w:rsidP="00CC2503">
      <w:pPr>
        <w:spacing w:line="480" w:lineRule="auto"/>
        <w:rPr>
          <w:rFonts w:ascii="Times New Roman" w:hAnsi="Times New Roman" w:cs="Times New Roman"/>
          <w:noProof/>
          <w:sz w:val="24"/>
          <w:szCs w:val="24"/>
        </w:rPr>
      </w:pPr>
      <w:bookmarkStart w:id="12" w:name="_ENREF_12"/>
      <w:r>
        <w:rPr>
          <w:rFonts w:ascii="Times New Roman" w:hAnsi="Times New Roman" w:cs="Times New Roman"/>
          <w:noProof/>
          <w:sz w:val="24"/>
          <w:szCs w:val="24"/>
        </w:rPr>
        <w:t xml:space="preserve">European Committee for Standardisation 2014, </w:t>
      </w:r>
      <w:r w:rsidRPr="00B804D8">
        <w:rPr>
          <w:rFonts w:ascii="Times New Roman" w:hAnsi="Times New Roman" w:cs="Times New Roman"/>
          <w:i/>
          <w:noProof/>
          <w:sz w:val="24"/>
          <w:szCs w:val="24"/>
        </w:rPr>
        <w:t>European Standardisation</w:t>
      </w:r>
      <w:r>
        <w:rPr>
          <w:rFonts w:ascii="Times New Roman" w:hAnsi="Times New Roman" w:cs="Times New Roman"/>
          <w:noProof/>
          <w:sz w:val="24"/>
          <w:szCs w:val="24"/>
        </w:rPr>
        <w:t>, viewed 29 January 2015, &lt;https://</w:t>
      </w:r>
      <w:r w:rsidRPr="00470EC5">
        <w:rPr>
          <w:rFonts w:ascii="Times New Roman" w:hAnsi="Times New Roman" w:cs="Times New Roman"/>
          <w:noProof/>
          <w:sz w:val="24"/>
          <w:szCs w:val="24"/>
        </w:rPr>
        <w:t>www.cen.eu/you/EuropeanStandardization/Pages/default.aspx&gt;</w:t>
      </w:r>
      <w:r>
        <w:rPr>
          <w:rFonts w:ascii="Times New Roman" w:hAnsi="Times New Roman" w:cs="Times New Roman"/>
          <w:noProof/>
          <w:sz w:val="24"/>
          <w:szCs w:val="24"/>
        </w:rPr>
        <w:t>.</w:t>
      </w:r>
      <w:bookmarkEnd w:id="12"/>
    </w:p>
    <w:p w:rsidR="00470EC5" w:rsidRDefault="00470EC5" w:rsidP="00CC2503">
      <w:pPr>
        <w:spacing w:line="480" w:lineRule="auto"/>
        <w:rPr>
          <w:rFonts w:ascii="Times New Roman" w:hAnsi="Times New Roman" w:cs="Times New Roman"/>
          <w:noProof/>
          <w:sz w:val="24"/>
          <w:szCs w:val="24"/>
        </w:rPr>
      </w:pPr>
      <w:bookmarkStart w:id="13" w:name="_ENREF_13"/>
      <w:r>
        <w:rPr>
          <w:rFonts w:ascii="Times New Roman" w:hAnsi="Times New Roman" w:cs="Times New Roman"/>
          <w:noProof/>
          <w:sz w:val="24"/>
          <w:szCs w:val="24"/>
        </w:rPr>
        <w:t xml:space="preserve">Fitzgerald, V 1998, 'Market frameworks in VET', in C Robinson &amp; R Kenyon (eds), </w:t>
      </w:r>
      <w:r w:rsidRPr="00B804D8">
        <w:rPr>
          <w:rFonts w:ascii="Times New Roman" w:hAnsi="Times New Roman" w:cs="Times New Roman"/>
          <w:i/>
          <w:noProof/>
          <w:sz w:val="24"/>
          <w:szCs w:val="24"/>
        </w:rPr>
        <w:t>The market for vocational education and training</w:t>
      </w:r>
      <w:r>
        <w:rPr>
          <w:rFonts w:ascii="Times New Roman" w:hAnsi="Times New Roman" w:cs="Times New Roman"/>
          <w:noProof/>
          <w:sz w:val="24"/>
          <w:szCs w:val="24"/>
        </w:rPr>
        <w:t>, National Centre for Vocational Education Research, Adelaide.</w:t>
      </w:r>
      <w:bookmarkEnd w:id="13"/>
    </w:p>
    <w:p w:rsidR="00470EC5" w:rsidRDefault="00470EC5" w:rsidP="00CC2503">
      <w:pPr>
        <w:spacing w:line="480" w:lineRule="auto"/>
        <w:rPr>
          <w:rFonts w:ascii="Times New Roman" w:hAnsi="Times New Roman" w:cs="Times New Roman"/>
          <w:noProof/>
          <w:sz w:val="24"/>
          <w:szCs w:val="24"/>
        </w:rPr>
      </w:pPr>
      <w:bookmarkStart w:id="14" w:name="_ENREF_14"/>
      <w:r>
        <w:rPr>
          <w:rFonts w:ascii="Times New Roman" w:hAnsi="Times New Roman" w:cs="Times New Roman"/>
          <w:noProof/>
          <w:sz w:val="24"/>
          <w:szCs w:val="24"/>
        </w:rPr>
        <w:t xml:space="preserve">Goozee, G 2001, </w:t>
      </w:r>
      <w:r w:rsidRPr="00B804D8">
        <w:rPr>
          <w:rFonts w:ascii="Times New Roman" w:hAnsi="Times New Roman" w:cs="Times New Roman"/>
          <w:i/>
          <w:noProof/>
          <w:sz w:val="24"/>
          <w:szCs w:val="24"/>
        </w:rPr>
        <w:t>The development of TAFE in Australia</w:t>
      </w:r>
      <w:r>
        <w:rPr>
          <w:rFonts w:ascii="Times New Roman" w:hAnsi="Times New Roman" w:cs="Times New Roman"/>
          <w:noProof/>
          <w:sz w:val="24"/>
          <w:szCs w:val="24"/>
        </w:rPr>
        <w:t>, Third edn, National Centre for Vocational Education Research, Leabrook.</w:t>
      </w:r>
      <w:bookmarkEnd w:id="14"/>
    </w:p>
    <w:p w:rsidR="00470EC5" w:rsidRDefault="00470EC5" w:rsidP="00CC2503">
      <w:pPr>
        <w:spacing w:line="480" w:lineRule="auto"/>
        <w:rPr>
          <w:rFonts w:ascii="Times New Roman" w:hAnsi="Times New Roman" w:cs="Times New Roman"/>
          <w:noProof/>
          <w:sz w:val="24"/>
          <w:szCs w:val="24"/>
        </w:rPr>
      </w:pPr>
      <w:bookmarkStart w:id="15" w:name="_ENREF_15"/>
      <w:r>
        <w:rPr>
          <w:rFonts w:ascii="Times New Roman" w:hAnsi="Times New Roman" w:cs="Times New Roman"/>
          <w:noProof/>
          <w:sz w:val="24"/>
          <w:szCs w:val="24"/>
        </w:rPr>
        <w:t xml:space="preserve">Johnston, N 1994, 'Beyond Kangan: future directions for vocational education and training', in P Kearns &amp; W Hall (eds), </w:t>
      </w:r>
      <w:r w:rsidRPr="00B804D8">
        <w:rPr>
          <w:rFonts w:ascii="Times New Roman" w:hAnsi="Times New Roman" w:cs="Times New Roman"/>
          <w:i/>
          <w:noProof/>
          <w:sz w:val="24"/>
          <w:szCs w:val="24"/>
        </w:rPr>
        <w:t>Kangan: 20 years on</w:t>
      </w:r>
      <w:r>
        <w:rPr>
          <w:rFonts w:ascii="Times New Roman" w:hAnsi="Times New Roman" w:cs="Times New Roman"/>
          <w:noProof/>
          <w:sz w:val="24"/>
          <w:szCs w:val="24"/>
        </w:rPr>
        <w:t>, National Centre for Vocational Education Research, Adelaide.</w:t>
      </w:r>
    </w:p>
    <w:bookmarkEnd w:id="15"/>
    <w:p w:rsidR="00470EC5" w:rsidRDefault="00470EC5" w:rsidP="00CC2503">
      <w:pPr>
        <w:spacing w:after="0" w:line="480" w:lineRule="auto"/>
        <w:rPr>
          <w:rFonts w:ascii="Times New Roman" w:hAnsi="Times New Roman" w:cs="Times New Roman"/>
          <w:noProof/>
          <w:sz w:val="24"/>
          <w:szCs w:val="24"/>
        </w:rPr>
      </w:pPr>
    </w:p>
    <w:p w:rsidR="00470EC5" w:rsidRDefault="00470EC5" w:rsidP="00CC2503">
      <w:pPr>
        <w:spacing w:line="480" w:lineRule="auto"/>
        <w:rPr>
          <w:rFonts w:ascii="Times New Roman" w:hAnsi="Times New Roman" w:cs="Times New Roman"/>
          <w:noProof/>
          <w:sz w:val="24"/>
          <w:szCs w:val="24"/>
        </w:rPr>
      </w:pPr>
      <w:bookmarkStart w:id="16" w:name="_ENREF_16"/>
      <w:r>
        <w:rPr>
          <w:rFonts w:ascii="Times New Roman" w:hAnsi="Times New Roman" w:cs="Times New Roman"/>
          <w:noProof/>
          <w:sz w:val="24"/>
          <w:szCs w:val="24"/>
        </w:rPr>
        <w:t xml:space="preserve">Kearns, P &amp; Hall, W (eds) 1994, </w:t>
      </w:r>
      <w:r w:rsidRPr="00B804D8">
        <w:rPr>
          <w:rFonts w:ascii="Times New Roman" w:hAnsi="Times New Roman" w:cs="Times New Roman"/>
          <w:i/>
          <w:noProof/>
          <w:sz w:val="24"/>
          <w:szCs w:val="24"/>
        </w:rPr>
        <w:t>Kangan: 20 years on</w:t>
      </w:r>
      <w:r>
        <w:rPr>
          <w:rFonts w:ascii="Times New Roman" w:hAnsi="Times New Roman" w:cs="Times New Roman"/>
          <w:noProof/>
          <w:sz w:val="24"/>
          <w:szCs w:val="24"/>
        </w:rPr>
        <w:t>, National Centre for Vocational Education Research, Adelaide.</w:t>
      </w:r>
      <w:bookmarkEnd w:id="16"/>
    </w:p>
    <w:p w:rsidR="00470EC5" w:rsidRDefault="00470EC5" w:rsidP="00CC2503">
      <w:pPr>
        <w:spacing w:line="480" w:lineRule="auto"/>
        <w:rPr>
          <w:rFonts w:ascii="Times New Roman" w:hAnsi="Times New Roman" w:cs="Times New Roman"/>
          <w:noProof/>
          <w:sz w:val="24"/>
          <w:szCs w:val="24"/>
        </w:rPr>
      </w:pPr>
      <w:bookmarkStart w:id="17" w:name="_ENREF_17"/>
      <w:r>
        <w:rPr>
          <w:rFonts w:ascii="Times New Roman" w:hAnsi="Times New Roman" w:cs="Times New Roman"/>
          <w:noProof/>
          <w:sz w:val="24"/>
          <w:szCs w:val="24"/>
        </w:rPr>
        <w:t>Kinsman, M 2009, 'Reflections on the history of TAFE in Australia', paper presented to NCVER No Frills conference, Ballarat, 8 July 2009.</w:t>
      </w:r>
      <w:bookmarkEnd w:id="17"/>
    </w:p>
    <w:p w:rsidR="00470EC5" w:rsidRDefault="00470EC5" w:rsidP="00CC2503">
      <w:pPr>
        <w:spacing w:line="480" w:lineRule="auto"/>
        <w:rPr>
          <w:rFonts w:ascii="Times New Roman" w:hAnsi="Times New Roman" w:cs="Times New Roman"/>
          <w:noProof/>
          <w:sz w:val="24"/>
          <w:szCs w:val="24"/>
        </w:rPr>
      </w:pPr>
      <w:bookmarkStart w:id="18" w:name="_ENREF_18"/>
      <w:r>
        <w:rPr>
          <w:rFonts w:ascii="Times New Roman" w:hAnsi="Times New Roman" w:cs="Times New Roman"/>
          <w:noProof/>
          <w:sz w:val="24"/>
          <w:szCs w:val="24"/>
        </w:rPr>
        <w:t xml:space="preserve">Lundberg, D 1996, </w:t>
      </w:r>
      <w:r w:rsidRPr="00B804D8">
        <w:rPr>
          <w:rFonts w:ascii="Times New Roman" w:hAnsi="Times New Roman" w:cs="Times New Roman"/>
          <w:i/>
          <w:noProof/>
          <w:sz w:val="24"/>
          <w:szCs w:val="24"/>
        </w:rPr>
        <w:t>Steering through rapids: the impact of the training reform agenda on TAFE managers</w:t>
      </w:r>
      <w:r>
        <w:rPr>
          <w:rFonts w:ascii="Times New Roman" w:hAnsi="Times New Roman" w:cs="Times New Roman"/>
          <w:noProof/>
          <w:sz w:val="24"/>
          <w:szCs w:val="24"/>
        </w:rPr>
        <w:t>, National Centre for Vocational Education Research, Adelaide.</w:t>
      </w:r>
      <w:bookmarkEnd w:id="18"/>
    </w:p>
    <w:p w:rsidR="00470EC5" w:rsidRDefault="00470EC5" w:rsidP="00CC2503">
      <w:pPr>
        <w:spacing w:line="480" w:lineRule="auto"/>
        <w:rPr>
          <w:rFonts w:ascii="Times New Roman" w:hAnsi="Times New Roman" w:cs="Times New Roman"/>
          <w:noProof/>
          <w:sz w:val="24"/>
          <w:szCs w:val="24"/>
        </w:rPr>
      </w:pPr>
      <w:bookmarkStart w:id="19" w:name="_ENREF_19"/>
      <w:r>
        <w:rPr>
          <w:rFonts w:ascii="Times New Roman" w:hAnsi="Times New Roman" w:cs="Times New Roman"/>
          <w:noProof/>
          <w:sz w:val="24"/>
          <w:szCs w:val="24"/>
        </w:rPr>
        <w:t xml:space="preserve">Manne, R &amp; Feik, C (eds) 2012, </w:t>
      </w:r>
      <w:r w:rsidRPr="00B804D8">
        <w:rPr>
          <w:rFonts w:ascii="Times New Roman" w:hAnsi="Times New Roman" w:cs="Times New Roman"/>
          <w:i/>
          <w:noProof/>
          <w:sz w:val="24"/>
          <w:szCs w:val="24"/>
        </w:rPr>
        <w:t>The words that made Australia</w:t>
      </w:r>
      <w:r>
        <w:rPr>
          <w:rFonts w:ascii="Times New Roman" w:hAnsi="Times New Roman" w:cs="Times New Roman"/>
          <w:noProof/>
          <w:sz w:val="24"/>
          <w:szCs w:val="24"/>
        </w:rPr>
        <w:t>, Ebook Introduction, Black Inc. Agenda, Collingwood.</w:t>
      </w:r>
      <w:bookmarkEnd w:id="19"/>
    </w:p>
    <w:p w:rsidR="00470EC5" w:rsidRDefault="00470EC5" w:rsidP="00CC2503">
      <w:pPr>
        <w:spacing w:line="480" w:lineRule="auto"/>
        <w:rPr>
          <w:rFonts w:ascii="Times New Roman" w:hAnsi="Times New Roman" w:cs="Times New Roman"/>
          <w:noProof/>
          <w:sz w:val="24"/>
          <w:szCs w:val="24"/>
        </w:rPr>
      </w:pPr>
      <w:bookmarkStart w:id="20" w:name="_ENREF_20"/>
      <w:r>
        <w:rPr>
          <w:rFonts w:ascii="Times New Roman" w:hAnsi="Times New Roman" w:cs="Times New Roman"/>
          <w:noProof/>
          <w:sz w:val="24"/>
          <w:szCs w:val="24"/>
        </w:rPr>
        <w:t xml:space="preserve">Marginson, S 1993, </w:t>
      </w:r>
      <w:r w:rsidRPr="00B804D8">
        <w:rPr>
          <w:rFonts w:ascii="Times New Roman" w:hAnsi="Times New Roman" w:cs="Times New Roman"/>
          <w:i/>
          <w:noProof/>
          <w:sz w:val="24"/>
          <w:szCs w:val="24"/>
        </w:rPr>
        <w:t>Education and public policy in Australia</w:t>
      </w:r>
      <w:r>
        <w:rPr>
          <w:rFonts w:ascii="Times New Roman" w:hAnsi="Times New Roman" w:cs="Times New Roman"/>
          <w:noProof/>
          <w:sz w:val="24"/>
          <w:szCs w:val="24"/>
        </w:rPr>
        <w:t>, Cambridge University Press, Cambridge.</w:t>
      </w:r>
      <w:bookmarkEnd w:id="20"/>
    </w:p>
    <w:p w:rsidR="00470EC5" w:rsidRDefault="00470EC5" w:rsidP="00CC2503">
      <w:pPr>
        <w:spacing w:line="480" w:lineRule="auto"/>
        <w:rPr>
          <w:rFonts w:ascii="Times New Roman" w:hAnsi="Times New Roman" w:cs="Times New Roman"/>
          <w:noProof/>
          <w:sz w:val="24"/>
          <w:szCs w:val="24"/>
        </w:rPr>
      </w:pPr>
      <w:bookmarkStart w:id="21" w:name="_ENREF_21"/>
      <w:r>
        <w:rPr>
          <w:rFonts w:ascii="Times New Roman" w:hAnsi="Times New Roman" w:cs="Times New Roman"/>
          <w:noProof/>
          <w:sz w:val="24"/>
          <w:szCs w:val="24"/>
        </w:rPr>
        <w:t xml:space="preserve">Miller, P &amp; Rose, N 2008, </w:t>
      </w:r>
      <w:r w:rsidRPr="00B804D8">
        <w:rPr>
          <w:rFonts w:ascii="Times New Roman" w:hAnsi="Times New Roman" w:cs="Times New Roman"/>
          <w:i/>
          <w:noProof/>
          <w:sz w:val="24"/>
          <w:szCs w:val="24"/>
        </w:rPr>
        <w:t>Governing the present: administering economic social and personal life</w:t>
      </w:r>
      <w:r>
        <w:rPr>
          <w:rFonts w:ascii="Times New Roman" w:hAnsi="Times New Roman" w:cs="Times New Roman"/>
          <w:noProof/>
          <w:sz w:val="24"/>
          <w:szCs w:val="24"/>
        </w:rPr>
        <w:t>, Polity Press, Cambridge.</w:t>
      </w:r>
      <w:bookmarkEnd w:id="21"/>
    </w:p>
    <w:p w:rsidR="00470EC5" w:rsidRDefault="00470EC5" w:rsidP="00CC2503">
      <w:pPr>
        <w:spacing w:line="480" w:lineRule="auto"/>
        <w:rPr>
          <w:rFonts w:ascii="Times New Roman" w:hAnsi="Times New Roman" w:cs="Times New Roman"/>
          <w:noProof/>
          <w:sz w:val="24"/>
          <w:szCs w:val="24"/>
        </w:rPr>
      </w:pPr>
      <w:bookmarkStart w:id="22" w:name="_ENREF_22"/>
      <w:r>
        <w:rPr>
          <w:rFonts w:ascii="Times New Roman" w:hAnsi="Times New Roman" w:cs="Times New Roman"/>
          <w:noProof/>
          <w:sz w:val="24"/>
          <w:szCs w:val="24"/>
        </w:rPr>
        <w:t xml:space="preserve">Norman, D 1990, </w:t>
      </w:r>
      <w:r w:rsidRPr="00B804D8">
        <w:rPr>
          <w:rFonts w:ascii="Times New Roman" w:hAnsi="Times New Roman" w:cs="Times New Roman"/>
          <w:i/>
          <w:noProof/>
          <w:sz w:val="24"/>
          <w:szCs w:val="24"/>
        </w:rPr>
        <w:t>The design of everyday things</w:t>
      </w:r>
      <w:r>
        <w:rPr>
          <w:rFonts w:ascii="Times New Roman" w:hAnsi="Times New Roman" w:cs="Times New Roman"/>
          <w:noProof/>
          <w:sz w:val="24"/>
          <w:szCs w:val="24"/>
        </w:rPr>
        <w:t>, Currency Doubleday, New York.</w:t>
      </w:r>
      <w:bookmarkEnd w:id="22"/>
    </w:p>
    <w:p w:rsidR="00470EC5" w:rsidRDefault="00470EC5" w:rsidP="00CC2503">
      <w:pPr>
        <w:spacing w:line="480" w:lineRule="auto"/>
        <w:rPr>
          <w:rFonts w:ascii="Times New Roman" w:hAnsi="Times New Roman" w:cs="Times New Roman"/>
          <w:noProof/>
          <w:sz w:val="24"/>
          <w:szCs w:val="24"/>
        </w:rPr>
      </w:pPr>
      <w:bookmarkStart w:id="23" w:name="_ENREF_23"/>
      <w:r>
        <w:rPr>
          <w:rFonts w:ascii="Times New Roman" w:hAnsi="Times New Roman" w:cs="Times New Roman"/>
          <w:noProof/>
          <w:sz w:val="24"/>
          <w:szCs w:val="24"/>
        </w:rPr>
        <w:t xml:space="preserve">Northern Territory Archives Service 1985-1990, </w:t>
      </w:r>
      <w:r w:rsidRPr="00B804D8">
        <w:rPr>
          <w:rFonts w:ascii="Times New Roman" w:hAnsi="Times New Roman" w:cs="Times New Roman"/>
          <w:i/>
          <w:noProof/>
          <w:sz w:val="24"/>
          <w:szCs w:val="24"/>
        </w:rPr>
        <w:t>Department of Education confidential secretariat records 1985-90 report of the training costs review committee</w:t>
      </w:r>
      <w:r>
        <w:rPr>
          <w:rFonts w:ascii="Times New Roman" w:hAnsi="Times New Roman" w:cs="Times New Roman"/>
          <w:noProof/>
          <w:sz w:val="24"/>
          <w:szCs w:val="24"/>
        </w:rPr>
        <w:t>, Northern Territory Department of Education, Series Number NTRS1314, ID Number 2001/0296 Part 9.</w:t>
      </w:r>
      <w:bookmarkEnd w:id="23"/>
    </w:p>
    <w:p w:rsidR="00470EC5" w:rsidRDefault="00470EC5" w:rsidP="00CC2503">
      <w:pPr>
        <w:spacing w:line="480" w:lineRule="auto"/>
        <w:rPr>
          <w:rFonts w:ascii="Times New Roman" w:hAnsi="Times New Roman" w:cs="Times New Roman"/>
          <w:noProof/>
          <w:sz w:val="24"/>
          <w:szCs w:val="24"/>
        </w:rPr>
      </w:pPr>
      <w:bookmarkStart w:id="24" w:name="_ENREF_24"/>
      <w:r>
        <w:rPr>
          <w:rFonts w:ascii="Times New Roman" w:hAnsi="Times New Roman" w:cs="Times New Roman"/>
          <w:noProof/>
          <w:sz w:val="24"/>
          <w:szCs w:val="24"/>
        </w:rPr>
        <w:t xml:space="preserve">Oksala, J 2007, </w:t>
      </w:r>
      <w:r w:rsidRPr="00B804D8">
        <w:rPr>
          <w:rFonts w:ascii="Times New Roman" w:hAnsi="Times New Roman" w:cs="Times New Roman"/>
          <w:i/>
          <w:noProof/>
          <w:sz w:val="24"/>
          <w:szCs w:val="24"/>
        </w:rPr>
        <w:t>How to read Foucault</w:t>
      </w:r>
      <w:r>
        <w:rPr>
          <w:rFonts w:ascii="Times New Roman" w:hAnsi="Times New Roman" w:cs="Times New Roman"/>
          <w:noProof/>
          <w:sz w:val="24"/>
          <w:szCs w:val="24"/>
        </w:rPr>
        <w:t>, W. W. Norton and Company, New York.</w:t>
      </w:r>
      <w:bookmarkEnd w:id="24"/>
    </w:p>
    <w:p w:rsidR="00470EC5" w:rsidRDefault="00470EC5" w:rsidP="00CC2503">
      <w:pPr>
        <w:spacing w:line="480" w:lineRule="auto"/>
        <w:rPr>
          <w:rFonts w:ascii="Times New Roman" w:hAnsi="Times New Roman" w:cs="Times New Roman"/>
          <w:noProof/>
          <w:sz w:val="24"/>
          <w:szCs w:val="24"/>
        </w:rPr>
      </w:pPr>
      <w:bookmarkStart w:id="25" w:name="_ENREF_25"/>
      <w:r>
        <w:rPr>
          <w:rFonts w:ascii="Times New Roman" w:hAnsi="Times New Roman" w:cs="Times New Roman"/>
          <w:noProof/>
          <w:sz w:val="24"/>
          <w:szCs w:val="24"/>
        </w:rPr>
        <w:t xml:space="preserve">Whitelock, D 1974, </w:t>
      </w:r>
      <w:r w:rsidRPr="00B804D8">
        <w:rPr>
          <w:rFonts w:ascii="Times New Roman" w:hAnsi="Times New Roman" w:cs="Times New Roman"/>
          <w:i/>
          <w:noProof/>
          <w:sz w:val="24"/>
          <w:szCs w:val="24"/>
        </w:rPr>
        <w:t>The great tradition: a history of adult education in Australia</w:t>
      </w:r>
      <w:r>
        <w:rPr>
          <w:rFonts w:ascii="Times New Roman" w:hAnsi="Times New Roman" w:cs="Times New Roman"/>
          <w:noProof/>
          <w:sz w:val="24"/>
          <w:szCs w:val="24"/>
        </w:rPr>
        <w:t>, University of Queensland Press, St Lucia.</w:t>
      </w:r>
      <w:bookmarkEnd w:id="25"/>
    </w:p>
    <w:p w:rsidR="00470EC5" w:rsidRDefault="00470EC5" w:rsidP="00CC2503">
      <w:pPr>
        <w:spacing w:line="480" w:lineRule="auto"/>
        <w:rPr>
          <w:rFonts w:ascii="Times New Roman" w:hAnsi="Times New Roman" w:cs="Times New Roman"/>
          <w:noProof/>
          <w:sz w:val="24"/>
          <w:szCs w:val="24"/>
        </w:rPr>
      </w:pPr>
      <w:bookmarkStart w:id="26" w:name="_ENREF_26"/>
      <w:r>
        <w:rPr>
          <w:rFonts w:ascii="Times New Roman" w:hAnsi="Times New Roman" w:cs="Times New Roman"/>
          <w:noProof/>
          <w:sz w:val="24"/>
          <w:szCs w:val="24"/>
        </w:rPr>
        <w:t xml:space="preserve">Wolf, C 1993, </w:t>
      </w:r>
      <w:r w:rsidRPr="00B804D8">
        <w:rPr>
          <w:rFonts w:ascii="Times New Roman" w:hAnsi="Times New Roman" w:cs="Times New Roman"/>
          <w:i/>
          <w:noProof/>
          <w:sz w:val="24"/>
          <w:szCs w:val="24"/>
        </w:rPr>
        <w:t>Markets or governments: choosing between imperfect alternatives</w:t>
      </w:r>
      <w:r>
        <w:rPr>
          <w:rFonts w:ascii="Times New Roman" w:hAnsi="Times New Roman" w:cs="Times New Roman"/>
          <w:noProof/>
          <w:sz w:val="24"/>
          <w:szCs w:val="24"/>
        </w:rPr>
        <w:t>, Second edn, MIT Press, Cambridge.</w:t>
      </w:r>
    </w:p>
    <w:bookmarkEnd w:id="26"/>
    <w:p w:rsidR="00470EC5" w:rsidRDefault="00470EC5" w:rsidP="00CC2503">
      <w:pPr>
        <w:spacing w:line="480" w:lineRule="auto"/>
        <w:rPr>
          <w:rFonts w:ascii="Times New Roman" w:hAnsi="Times New Roman" w:cs="Times New Roman"/>
          <w:noProof/>
          <w:sz w:val="24"/>
          <w:szCs w:val="24"/>
        </w:rPr>
      </w:pPr>
    </w:p>
    <w:p w:rsidR="00470EC5" w:rsidRDefault="00470EC5" w:rsidP="00CC2503">
      <w:pPr>
        <w:spacing w:line="480" w:lineRule="auto"/>
        <w:rPr>
          <w:rFonts w:ascii="Times New Roman" w:hAnsi="Times New Roman" w:cs="Times New Roman"/>
          <w:noProof/>
          <w:sz w:val="24"/>
          <w:szCs w:val="24"/>
        </w:rPr>
      </w:pPr>
    </w:p>
    <w:p w:rsidR="00470EC5" w:rsidRPr="00692E5B" w:rsidRDefault="00470EC5" w:rsidP="00CC2503">
      <w:pPr>
        <w:autoSpaceDE w:val="0"/>
        <w:autoSpaceDN w:val="0"/>
        <w:adjustRightInd w:val="0"/>
        <w:spacing w:after="0" w:line="480" w:lineRule="auto"/>
        <w:rPr>
          <w:rFonts w:ascii="Times New Roman" w:hAnsi="Times New Roman" w:cs="Times New Roman"/>
          <w:sz w:val="24"/>
          <w:szCs w:val="24"/>
        </w:rPr>
      </w:pPr>
    </w:p>
    <w:p w:rsidR="00040EBB" w:rsidRDefault="00331D3D" w:rsidP="00CC2503">
      <w:pPr>
        <w:spacing w:line="480" w:lineRule="auto"/>
      </w:pPr>
    </w:p>
    <w:sectPr w:rsidR="00040EB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131" w:rsidRDefault="00CC2503">
      <w:pPr>
        <w:spacing w:after="0" w:line="240" w:lineRule="auto"/>
      </w:pPr>
      <w:r>
        <w:separator/>
      </w:r>
    </w:p>
  </w:endnote>
  <w:endnote w:type="continuationSeparator" w:id="0">
    <w:p w:rsidR="00FF2131" w:rsidRDefault="00CC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346079"/>
      <w:docPartObj>
        <w:docPartGallery w:val="Page Numbers (Bottom of Page)"/>
        <w:docPartUnique/>
      </w:docPartObj>
    </w:sdtPr>
    <w:sdtEndPr>
      <w:rPr>
        <w:noProof/>
      </w:rPr>
    </w:sdtEndPr>
    <w:sdtContent>
      <w:p w:rsidR="00B804D8" w:rsidRDefault="00775364">
        <w:pPr>
          <w:pStyle w:val="Footer"/>
          <w:jc w:val="center"/>
        </w:pPr>
        <w:r>
          <w:fldChar w:fldCharType="begin"/>
        </w:r>
        <w:r>
          <w:instrText xml:space="preserve"> PAGE   \* MERGEFORMAT </w:instrText>
        </w:r>
        <w:r>
          <w:fldChar w:fldCharType="separate"/>
        </w:r>
        <w:r w:rsidR="00331D3D">
          <w:rPr>
            <w:noProof/>
          </w:rPr>
          <w:t>2</w:t>
        </w:r>
        <w:r>
          <w:rPr>
            <w:noProof/>
          </w:rPr>
          <w:fldChar w:fldCharType="end"/>
        </w:r>
      </w:p>
    </w:sdtContent>
  </w:sdt>
  <w:p w:rsidR="00B804D8" w:rsidRDefault="00331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131" w:rsidRDefault="00CC2503">
      <w:pPr>
        <w:spacing w:after="0" w:line="240" w:lineRule="auto"/>
      </w:pPr>
      <w:r>
        <w:separator/>
      </w:r>
    </w:p>
  </w:footnote>
  <w:footnote w:type="continuationSeparator" w:id="0">
    <w:p w:rsidR="00FF2131" w:rsidRDefault="00CC2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6A46"/>
    <w:multiLevelType w:val="hybridMultilevel"/>
    <w:tmpl w:val="A760B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A23EC8"/>
    <w:multiLevelType w:val="hybridMultilevel"/>
    <w:tmpl w:val="88161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8A0AA5"/>
    <w:multiLevelType w:val="hybridMultilevel"/>
    <w:tmpl w:val="1048E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787B31"/>
    <w:multiLevelType w:val="hybridMultilevel"/>
    <w:tmpl w:val="C8CA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470EC5"/>
    <w:rsid w:val="00211E6B"/>
    <w:rsid w:val="003178E6"/>
    <w:rsid w:val="00331D3D"/>
    <w:rsid w:val="00470EC5"/>
    <w:rsid w:val="00716BE2"/>
    <w:rsid w:val="00775364"/>
    <w:rsid w:val="00CC2503"/>
    <w:rsid w:val="00FF2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91F04-CDEC-4462-A3FB-F279E648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0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EC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0EC5"/>
    <w:rPr>
      <w:color w:val="0000FF" w:themeColor="hyperlink"/>
      <w:u w:val="single"/>
    </w:rPr>
  </w:style>
  <w:style w:type="paragraph" w:styleId="Header">
    <w:name w:val="header"/>
    <w:basedOn w:val="Normal"/>
    <w:link w:val="HeaderChar"/>
    <w:uiPriority w:val="99"/>
    <w:unhideWhenUsed/>
    <w:rsid w:val="00470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EC5"/>
  </w:style>
  <w:style w:type="paragraph" w:styleId="Footer">
    <w:name w:val="footer"/>
    <w:basedOn w:val="Normal"/>
    <w:link w:val="FooterChar"/>
    <w:uiPriority w:val="99"/>
    <w:unhideWhenUsed/>
    <w:rsid w:val="00470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EC5"/>
  </w:style>
  <w:style w:type="paragraph" w:styleId="ListParagraph">
    <w:name w:val="List Paragraph"/>
    <w:basedOn w:val="Normal"/>
    <w:uiPriority w:val="34"/>
    <w:qFormat/>
    <w:rsid w:val="0047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97B21-C651-4155-B681-59CB0122983C}"/>
</file>

<file path=customXml/itemProps2.xml><?xml version="1.0" encoding="utf-8"?>
<ds:datastoreItem xmlns:ds="http://schemas.openxmlformats.org/officeDocument/2006/customXml" ds:itemID="{1A2362A6-224A-4407-B516-EF1B174044C2}"/>
</file>

<file path=customXml/itemProps3.xml><?xml version="1.0" encoding="utf-8"?>
<ds:datastoreItem xmlns:ds="http://schemas.openxmlformats.org/officeDocument/2006/customXml" ds:itemID="{D98CEBCE-6F9F-400A-8A66-DD356B671604}"/>
</file>

<file path=docProps/app.xml><?xml version="1.0" encoding="utf-8"?>
<Properties xmlns="http://schemas.openxmlformats.org/officeDocument/2006/extended-properties" xmlns:vt="http://schemas.openxmlformats.org/officeDocument/2006/docPropsVTypes">
  <Template>Normal</Template>
  <TotalTime>1</TotalTime>
  <Pages>6</Pages>
  <Words>4444</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Megan Ogier</cp:lastModifiedBy>
  <cp:revision>2</cp:revision>
  <dcterms:created xsi:type="dcterms:W3CDTF">2016-11-24T06:56:00Z</dcterms:created>
  <dcterms:modified xsi:type="dcterms:W3CDTF">2016-11-24T06:56:00Z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